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sz w:val="22"/>
          <w:szCs w:val="22"/>
          <w:rtl w:val="0"/>
        </w:rPr>
        <w:t xml:space="preserve">Channel: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 Instagram/Facebook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0000ff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venir" w:cs="Avenir" w:eastAsia="Avenir" w:hAnsi="Avenir"/>
          <w:b w:val="1"/>
          <w:sz w:val="22"/>
          <w:szCs w:val="22"/>
          <w:rtl w:val="0"/>
        </w:rPr>
        <w:t xml:space="preserve">Title: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0000ff"/>
          <w:sz w:val="22"/>
          <w:szCs w:val="22"/>
          <w:rtl w:val="0"/>
        </w:rPr>
        <w:t xml:space="preserve">Count on Natrelle® Warranty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Multi Image STORY: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</w:rPr>
        <w:drawing>
          <wp:inline distB="114300" distT="114300" distL="114300" distR="114300">
            <wp:extent cx="6858000" cy="3314700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1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Important Safety Information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Instagram: Add ISI as last frame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Facebook:  Add ISI as last frame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6nTJGqeT0t0mtadCahxtT4HqjQ==">CgMxLjAyCGguZ2pkZ3hzOAByITF2cEVOZnBxNklaUVk4Z1YwSTdOMXJxd3VDU3VIMW5Sdw==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