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7D0B9" w14:textId="77777777" w:rsidR="009F6EEF" w:rsidRDefault="009F6EEF" w:rsidP="00660CD9">
      <w:pPr>
        <w:pStyle w:val="Default"/>
        <w:outlineLvl w:val="0"/>
        <w:rPr>
          <w:b/>
          <w:bCs/>
          <w:sz w:val="18"/>
          <w:szCs w:val="18"/>
        </w:rPr>
      </w:pPr>
      <w:r>
        <w:rPr>
          <w:b/>
          <w:bCs/>
          <w:sz w:val="18"/>
          <w:szCs w:val="18"/>
        </w:rPr>
        <w:t>BOTOX</w:t>
      </w:r>
      <w:r w:rsidRPr="00CE1043">
        <w:rPr>
          <w:sz w:val="18"/>
          <w:szCs w:val="18"/>
          <w:vertAlign w:val="superscript"/>
        </w:rPr>
        <w:t>®</w:t>
      </w:r>
      <w:r>
        <w:rPr>
          <w:b/>
          <w:bCs/>
          <w:sz w:val="18"/>
          <w:szCs w:val="18"/>
        </w:rPr>
        <w:t xml:space="preserve"> Cosmetic (onabotulinumtoxinA) Important Information</w:t>
      </w:r>
    </w:p>
    <w:p w14:paraId="4E8F1974" w14:textId="77777777" w:rsidR="009F6EEF" w:rsidRPr="007B5B0A" w:rsidRDefault="009F6EEF" w:rsidP="007B5B0A"/>
    <w:p w14:paraId="6FD5FB4A" w14:textId="2C161BAA" w:rsidR="009F6EEF" w:rsidRDefault="009F6EEF" w:rsidP="00F81DA7">
      <w:pPr>
        <w:pStyle w:val="Default"/>
        <w:outlineLvl w:val="0"/>
        <w:rPr>
          <w:b/>
          <w:bCs/>
          <w:sz w:val="18"/>
          <w:szCs w:val="18"/>
        </w:rPr>
      </w:pPr>
      <w:r>
        <w:rPr>
          <w:b/>
          <w:bCs/>
          <w:sz w:val="18"/>
          <w:szCs w:val="18"/>
        </w:rPr>
        <w:t xml:space="preserve">Indications </w:t>
      </w:r>
    </w:p>
    <w:p w14:paraId="2B297E27" w14:textId="77777777" w:rsidR="009F0400" w:rsidRDefault="009F0400" w:rsidP="00F81DA7">
      <w:pPr>
        <w:pStyle w:val="Default"/>
        <w:outlineLvl w:val="0"/>
        <w:rPr>
          <w:i/>
          <w:iCs/>
          <w:sz w:val="18"/>
          <w:szCs w:val="18"/>
        </w:rPr>
      </w:pPr>
    </w:p>
    <w:p w14:paraId="7F1630E0" w14:textId="77777777" w:rsidR="009F6EEF" w:rsidRPr="0087200D" w:rsidRDefault="009F6EEF" w:rsidP="009F6EEF">
      <w:pPr>
        <w:pStyle w:val="Default"/>
        <w:rPr>
          <w:iCs/>
          <w:sz w:val="18"/>
          <w:szCs w:val="18"/>
        </w:rPr>
      </w:pPr>
      <w:r w:rsidRPr="0087200D">
        <w:rPr>
          <w:iCs/>
          <w:sz w:val="18"/>
          <w:szCs w:val="18"/>
        </w:rPr>
        <w:t>BOTOX</w:t>
      </w:r>
      <w:r w:rsidRPr="00CE1043">
        <w:rPr>
          <w:sz w:val="18"/>
          <w:szCs w:val="18"/>
          <w:vertAlign w:val="superscript"/>
        </w:rPr>
        <w:t>®</w:t>
      </w:r>
      <w:r w:rsidRPr="0087200D">
        <w:rPr>
          <w:iCs/>
          <w:sz w:val="18"/>
          <w:szCs w:val="18"/>
        </w:rPr>
        <w:t xml:space="preserve"> Cosmetic (onabotulinumtoxinA) is indicated in adult patients for the temporary i</w:t>
      </w:r>
      <w:r>
        <w:rPr>
          <w:iCs/>
          <w:sz w:val="18"/>
          <w:szCs w:val="18"/>
        </w:rPr>
        <w:t>mprovement in the appearance of:</w:t>
      </w:r>
    </w:p>
    <w:p w14:paraId="115E1044" w14:textId="1CCFD5FF" w:rsidR="009F6EEF" w:rsidRPr="0087200D" w:rsidRDefault="009F6EEF" w:rsidP="009F6EEF">
      <w:pPr>
        <w:pStyle w:val="Default"/>
        <w:rPr>
          <w:iCs/>
          <w:sz w:val="18"/>
          <w:szCs w:val="18"/>
        </w:rPr>
      </w:pPr>
      <w:r w:rsidRPr="0087200D">
        <w:rPr>
          <w:iCs/>
          <w:sz w:val="18"/>
          <w:szCs w:val="18"/>
        </w:rPr>
        <w:t xml:space="preserve">- </w:t>
      </w:r>
      <w:r w:rsidR="002B0ADB">
        <w:rPr>
          <w:iCs/>
          <w:sz w:val="18"/>
          <w:szCs w:val="18"/>
        </w:rPr>
        <w:t>M</w:t>
      </w:r>
      <w:r w:rsidRPr="0087200D">
        <w:rPr>
          <w:iCs/>
          <w:sz w:val="18"/>
          <w:szCs w:val="18"/>
        </w:rPr>
        <w:t>oderate to severe glabellar lines associated with corrugator and/or procerus muscle activity</w:t>
      </w:r>
    </w:p>
    <w:p w14:paraId="60A2C32A" w14:textId="6C515227" w:rsidR="009F6EEF" w:rsidRPr="0087200D" w:rsidRDefault="009F6EEF" w:rsidP="009F6EEF">
      <w:pPr>
        <w:pStyle w:val="Default"/>
        <w:rPr>
          <w:iCs/>
          <w:sz w:val="18"/>
          <w:szCs w:val="18"/>
        </w:rPr>
      </w:pPr>
      <w:r w:rsidRPr="0087200D">
        <w:rPr>
          <w:iCs/>
          <w:sz w:val="18"/>
          <w:szCs w:val="18"/>
        </w:rPr>
        <w:t xml:space="preserve">- </w:t>
      </w:r>
      <w:r w:rsidR="002B0ADB">
        <w:rPr>
          <w:iCs/>
          <w:sz w:val="18"/>
          <w:szCs w:val="18"/>
        </w:rPr>
        <w:t>M</w:t>
      </w:r>
      <w:r w:rsidRPr="0087200D">
        <w:rPr>
          <w:iCs/>
          <w:sz w:val="18"/>
          <w:szCs w:val="18"/>
        </w:rPr>
        <w:t>oderate to severe lateral canthal lines associated with orbicularis oculi activity</w:t>
      </w:r>
    </w:p>
    <w:p w14:paraId="1D51DAA5" w14:textId="185D66C5" w:rsidR="00BA7D08" w:rsidRDefault="009F6EEF" w:rsidP="00CE1043">
      <w:pPr>
        <w:pStyle w:val="Default"/>
        <w:rPr>
          <w:iCs/>
          <w:sz w:val="18"/>
          <w:szCs w:val="18"/>
        </w:rPr>
      </w:pPr>
      <w:r w:rsidRPr="0087200D">
        <w:rPr>
          <w:iCs/>
          <w:sz w:val="18"/>
          <w:szCs w:val="18"/>
        </w:rPr>
        <w:t xml:space="preserve">- </w:t>
      </w:r>
      <w:r w:rsidR="002B0ADB">
        <w:rPr>
          <w:iCs/>
          <w:sz w:val="18"/>
          <w:szCs w:val="18"/>
        </w:rPr>
        <w:t>M</w:t>
      </w:r>
      <w:r w:rsidRPr="0087200D">
        <w:rPr>
          <w:iCs/>
          <w:sz w:val="18"/>
          <w:szCs w:val="18"/>
        </w:rPr>
        <w:t>oderate to severe forehead lines associated with frontalis activity</w:t>
      </w:r>
    </w:p>
    <w:p w14:paraId="577260E4" w14:textId="69C31A3A" w:rsidR="00A17861" w:rsidRPr="00BA7D08" w:rsidRDefault="00A17861" w:rsidP="00CE1043">
      <w:pPr>
        <w:pStyle w:val="Default"/>
        <w:rPr>
          <w:iCs/>
          <w:sz w:val="18"/>
          <w:szCs w:val="18"/>
        </w:rPr>
      </w:pPr>
      <w:r>
        <w:rPr>
          <w:iCs/>
          <w:sz w:val="18"/>
          <w:szCs w:val="18"/>
        </w:rPr>
        <w:t xml:space="preserve">- </w:t>
      </w:r>
      <w:r w:rsidR="00325E91" w:rsidRPr="00325E91">
        <w:rPr>
          <w:iCs/>
          <w:sz w:val="18"/>
          <w:szCs w:val="18"/>
        </w:rPr>
        <w:t xml:space="preserve">Moderate to severe platysma </w:t>
      </w:r>
      <w:r w:rsidR="00670C9B">
        <w:rPr>
          <w:iCs/>
          <w:sz w:val="18"/>
          <w:szCs w:val="18"/>
        </w:rPr>
        <w:t>bands</w:t>
      </w:r>
      <w:r w:rsidR="00670C9B" w:rsidRPr="00325E91">
        <w:rPr>
          <w:iCs/>
          <w:sz w:val="18"/>
          <w:szCs w:val="18"/>
        </w:rPr>
        <w:t xml:space="preserve"> </w:t>
      </w:r>
      <w:r w:rsidR="00325E91" w:rsidRPr="00325E91">
        <w:rPr>
          <w:iCs/>
          <w:sz w:val="18"/>
          <w:szCs w:val="18"/>
        </w:rPr>
        <w:t>associated with platysma muscle activity</w:t>
      </w:r>
    </w:p>
    <w:p w14:paraId="13A7590E" w14:textId="77777777" w:rsidR="009F6EEF" w:rsidRDefault="009F6EEF" w:rsidP="00CE1043">
      <w:pPr>
        <w:pStyle w:val="Default"/>
        <w:rPr>
          <w:b/>
          <w:sz w:val="18"/>
          <w:szCs w:val="18"/>
        </w:rPr>
      </w:pPr>
    </w:p>
    <w:p w14:paraId="16102C0E" w14:textId="77777777" w:rsidR="00CE1043" w:rsidRPr="00CE1043" w:rsidRDefault="00CE1043" w:rsidP="00660CD9">
      <w:pPr>
        <w:pStyle w:val="Default"/>
        <w:outlineLvl w:val="0"/>
        <w:rPr>
          <w:b/>
          <w:sz w:val="18"/>
          <w:szCs w:val="18"/>
        </w:rPr>
      </w:pPr>
      <w:r w:rsidRPr="00CE1043">
        <w:rPr>
          <w:b/>
          <w:sz w:val="18"/>
          <w:szCs w:val="18"/>
        </w:rPr>
        <w:t xml:space="preserve">IMPORTANT SAFETY INFORMATION, INCLUDING BOXED WARNING </w:t>
      </w:r>
    </w:p>
    <w:p w14:paraId="0576D0E2" w14:textId="77777777" w:rsidR="00CE1043" w:rsidRPr="00CE1043" w:rsidRDefault="00CE1043" w:rsidP="00CE1043">
      <w:pPr>
        <w:pStyle w:val="Default"/>
        <w:rPr>
          <w:b/>
          <w:sz w:val="18"/>
          <w:szCs w:val="18"/>
        </w:rPr>
      </w:pPr>
      <w:r>
        <w:rPr>
          <w:b/>
          <w:noProof/>
          <w:sz w:val="18"/>
          <w:szCs w:val="18"/>
        </w:rPr>
        <mc:AlternateContent>
          <mc:Choice Requires="wps">
            <w:drawing>
              <wp:anchor distT="0" distB="0" distL="114300" distR="114300" simplePos="0" relativeHeight="251658240" behindDoc="1" locked="0" layoutInCell="1" allowOverlap="1" wp14:anchorId="7ECE4C2D" wp14:editId="10949119">
                <wp:simplePos x="0" y="0"/>
                <wp:positionH relativeFrom="column">
                  <wp:posOffset>-114300</wp:posOffset>
                </wp:positionH>
                <wp:positionV relativeFrom="paragraph">
                  <wp:posOffset>80009</wp:posOffset>
                </wp:positionV>
                <wp:extent cx="5715000" cy="1895013"/>
                <wp:effectExtent l="50800" t="25400" r="76200" b="111760"/>
                <wp:wrapNone/>
                <wp:docPr id="1" name="Rectangle 1"/>
                <wp:cNvGraphicFramePr/>
                <a:graphic xmlns:a="http://schemas.openxmlformats.org/drawingml/2006/main">
                  <a:graphicData uri="http://schemas.microsoft.com/office/word/2010/wordprocessingShape">
                    <wps:wsp>
                      <wps:cNvSpPr/>
                      <wps:spPr>
                        <a:xfrm>
                          <a:off x="0" y="0"/>
                          <a:ext cx="5715000" cy="1895013"/>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4615C" id="Rectangle 1" o:spid="_x0000_s1026" style="position:absolute;margin-left:-9pt;margin-top:6.3pt;width:450pt;height:14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" filled="f" strokecolor="black [3213]">
                <v:shadow on="t" color="black" opacity="22937f" origin=",.5" offset="0,.63889mm"/>
              </v:rect>
            </w:pict>
          </mc:Fallback>
        </mc:AlternateContent>
      </w:r>
    </w:p>
    <w:p w14:paraId="3A381FA1" w14:textId="77777777" w:rsidR="00CE1043" w:rsidRDefault="00CE1043" w:rsidP="00660CD9">
      <w:pPr>
        <w:pStyle w:val="Default"/>
        <w:outlineLvl w:val="0"/>
        <w:rPr>
          <w:b/>
          <w:sz w:val="18"/>
          <w:szCs w:val="18"/>
        </w:rPr>
      </w:pPr>
      <w:r w:rsidRPr="00CE1043">
        <w:rPr>
          <w:b/>
          <w:sz w:val="18"/>
          <w:szCs w:val="18"/>
        </w:rPr>
        <w:t xml:space="preserve">WARNING: DISTANT SPREAD OF TOXIN EFFECT </w:t>
      </w:r>
    </w:p>
    <w:p w14:paraId="7808ED3F" w14:textId="77777777" w:rsidR="00C37322" w:rsidRPr="00CE1043" w:rsidRDefault="00C37322" w:rsidP="00660CD9">
      <w:pPr>
        <w:pStyle w:val="Default"/>
        <w:outlineLvl w:val="0"/>
        <w:rPr>
          <w:b/>
          <w:sz w:val="18"/>
          <w:szCs w:val="18"/>
        </w:rPr>
      </w:pPr>
    </w:p>
    <w:p w14:paraId="16223FCE" w14:textId="7952424C" w:rsidR="00CE1043" w:rsidRPr="00CE1043" w:rsidRDefault="00CE1043" w:rsidP="00224A59">
      <w:pPr>
        <w:pStyle w:val="Default"/>
        <w:jc w:val="both"/>
        <w:rPr>
          <w:b/>
          <w:sz w:val="18"/>
          <w:szCs w:val="18"/>
        </w:rPr>
      </w:pPr>
      <w:proofErr w:type="spellStart"/>
      <w:r w:rsidRPr="00CE1043">
        <w:rPr>
          <w:b/>
          <w:sz w:val="18"/>
          <w:szCs w:val="18"/>
        </w:rPr>
        <w:t>Postmarketing</w:t>
      </w:r>
      <w:proofErr w:type="spellEnd"/>
      <w:r w:rsidRPr="00CE1043">
        <w:rPr>
          <w:b/>
          <w:sz w:val="18"/>
          <w:szCs w:val="18"/>
        </w:rPr>
        <w:t xml:space="preserve"> reports indicate that the effects of BOTOX</w:t>
      </w:r>
      <w:r w:rsidR="007B5B0A" w:rsidRPr="00CE1043">
        <w:rPr>
          <w:sz w:val="18"/>
          <w:szCs w:val="18"/>
          <w:vertAlign w:val="superscript"/>
        </w:rPr>
        <w:t>®</w:t>
      </w:r>
      <w:r w:rsidRPr="00CE1043">
        <w:rPr>
          <w:b/>
          <w:sz w:val="11"/>
          <w:szCs w:val="11"/>
        </w:rPr>
        <w:t xml:space="preserve"> </w:t>
      </w:r>
      <w:r w:rsidRPr="00CE1043">
        <w:rPr>
          <w:b/>
          <w:sz w:val="18"/>
          <w:szCs w:val="18"/>
        </w:rPr>
        <w:t>Cosmetic and all botulinum toxin products may spread from the area of injection to produce symptoms consistent with botulinum toxin effects. These may include asthenia, generalized muscle weakness, diplopia, ptosis, dysphagia, dysphonia, dysarthria, urinary incontinence</w:t>
      </w:r>
      <w:r w:rsidR="002B0ADB">
        <w:rPr>
          <w:b/>
          <w:sz w:val="18"/>
          <w:szCs w:val="18"/>
        </w:rPr>
        <w:t>,</w:t>
      </w:r>
      <w:r w:rsidRPr="00CE1043">
        <w:rPr>
          <w:b/>
          <w:sz w:val="18"/>
          <w:szCs w:val="18"/>
        </w:rPr>
        <w:t xml:space="preserve"> and breathing difficulties. These symptoms have been reported hours to weeks after injection. Swallowing and breathing difficulties can be life threatening and there have been reports of death. The risk of symptoms is probably greatest in children treated for spasticity</w:t>
      </w:r>
      <w:r w:rsidR="002B0ADB">
        <w:rPr>
          <w:b/>
          <w:sz w:val="18"/>
          <w:szCs w:val="18"/>
        </w:rPr>
        <w:t>,</w:t>
      </w:r>
      <w:r w:rsidRPr="00CE1043">
        <w:rPr>
          <w:b/>
          <w:sz w:val="18"/>
          <w:szCs w:val="18"/>
        </w:rPr>
        <w:t xml:space="preserve"> but symptoms can also occur in adults treated for spasticity and other conditions, particularly in those patients who have an underlying condition that would predispose them to these symptoms. In unapproved uses</w:t>
      </w:r>
      <w:r w:rsidRPr="00616A1D">
        <w:rPr>
          <w:b/>
          <w:color w:val="FF0000"/>
          <w:sz w:val="18"/>
          <w:szCs w:val="18"/>
        </w:rPr>
        <w:t xml:space="preserve"> </w:t>
      </w:r>
      <w:r w:rsidRPr="00CE1043">
        <w:rPr>
          <w:b/>
          <w:sz w:val="18"/>
          <w:szCs w:val="18"/>
        </w:rPr>
        <w:t xml:space="preserve">and approved indications, cases of spread of effect have been reported at doses comparable to those used to treat cervical dystonia and spasticity and at lower doses. </w:t>
      </w:r>
    </w:p>
    <w:p w14:paraId="3AF66CEC" w14:textId="77777777" w:rsidR="00CE1043" w:rsidRDefault="00CE1043" w:rsidP="00CE1043">
      <w:pPr>
        <w:pStyle w:val="Default"/>
        <w:rPr>
          <w:b/>
          <w:bCs/>
          <w:sz w:val="18"/>
          <w:szCs w:val="18"/>
        </w:rPr>
      </w:pPr>
    </w:p>
    <w:p w14:paraId="1ABD5E39" w14:textId="77777777" w:rsidR="00CE1043" w:rsidRDefault="00CE1043" w:rsidP="00CE1043">
      <w:pPr>
        <w:pStyle w:val="Default"/>
        <w:rPr>
          <w:b/>
          <w:bCs/>
          <w:sz w:val="18"/>
          <w:szCs w:val="18"/>
        </w:rPr>
      </w:pPr>
    </w:p>
    <w:p w14:paraId="6DD464EE" w14:textId="77777777" w:rsidR="00CE1043" w:rsidRDefault="00CE1043" w:rsidP="00660CD9">
      <w:pPr>
        <w:pStyle w:val="Default"/>
        <w:outlineLvl w:val="0"/>
        <w:rPr>
          <w:sz w:val="18"/>
          <w:szCs w:val="18"/>
        </w:rPr>
      </w:pPr>
      <w:r>
        <w:rPr>
          <w:b/>
          <w:bCs/>
          <w:sz w:val="18"/>
          <w:szCs w:val="18"/>
        </w:rPr>
        <w:t xml:space="preserve">CONTRAINDICATIONS </w:t>
      </w:r>
    </w:p>
    <w:p w14:paraId="0830EF75" w14:textId="3CF11627" w:rsidR="00CE1043" w:rsidRDefault="00CE1043" w:rsidP="00CE1043">
      <w:pPr>
        <w:pStyle w:val="Default"/>
        <w:rPr>
          <w:sz w:val="18"/>
          <w:szCs w:val="18"/>
        </w:rPr>
      </w:pPr>
      <w:r>
        <w:rPr>
          <w:sz w:val="18"/>
          <w:szCs w:val="18"/>
        </w:rPr>
        <w:t>BOTOX</w:t>
      </w:r>
      <w:r w:rsidR="007B5B0A" w:rsidRPr="00CE1043">
        <w:rPr>
          <w:sz w:val="18"/>
          <w:szCs w:val="18"/>
          <w:vertAlign w:val="superscript"/>
        </w:rPr>
        <w:t>®</w:t>
      </w:r>
      <w:r>
        <w:rPr>
          <w:sz w:val="18"/>
          <w:szCs w:val="18"/>
        </w:rPr>
        <w:t xml:space="preserve"> Cosmetic is contraindicated in the presence of infection at the proposed injection site(s) and in individuals with known hypersensitivity to any botulinum toxin preparation or to any of the components in the formulation. </w:t>
      </w:r>
    </w:p>
    <w:p w14:paraId="585F0BAF" w14:textId="77777777" w:rsidR="00CE1043" w:rsidRDefault="00CE1043" w:rsidP="00CE1043">
      <w:pPr>
        <w:pStyle w:val="Default"/>
        <w:rPr>
          <w:b/>
          <w:bCs/>
          <w:sz w:val="18"/>
          <w:szCs w:val="18"/>
        </w:rPr>
      </w:pPr>
    </w:p>
    <w:p w14:paraId="51500A8C" w14:textId="77777777" w:rsidR="00CE1043" w:rsidRDefault="00CE1043" w:rsidP="00660CD9">
      <w:pPr>
        <w:pStyle w:val="Default"/>
        <w:outlineLvl w:val="0"/>
        <w:rPr>
          <w:sz w:val="18"/>
          <w:szCs w:val="18"/>
        </w:rPr>
      </w:pPr>
      <w:r>
        <w:rPr>
          <w:b/>
          <w:bCs/>
          <w:sz w:val="18"/>
          <w:szCs w:val="18"/>
        </w:rPr>
        <w:t xml:space="preserve">WARNINGS AND PRECAUTIONS </w:t>
      </w:r>
    </w:p>
    <w:p w14:paraId="1161A41B" w14:textId="77777777" w:rsidR="00145D1F" w:rsidRDefault="00145D1F" w:rsidP="007F7E0D">
      <w:pPr>
        <w:pStyle w:val="NormalWeb"/>
        <w:spacing w:before="0" w:beforeAutospacing="0" w:after="0" w:afterAutospacing="0"/>
        <w:rPr>
          <w:rFonts w:ascii="Helvetica" w:hAnsi="Helvetica" w:cs="Helvetica"/>
          <w:b/>
          <w:sz w:val="18"/>
          <w:szCs w:val="18"/>
        </w:rPr>
      </w:pPr>
      <w:r w:rsidRPr="00C3571E">
        <w:rPr>
          <w:rFonts w:ascii="Helvetica" w:hAnsi="Helvetica" w:cs="Helvetica"/>
          <w:b/>
          <w:sz w:val="18"/>
          <w:szCs w:val="18"/>
        </w:rPr>
        <w:t>Lack of Equivalency Between Botulinum Toxin Products</w:t>
      </w:r>
    </w:p>
    <w:p w14:paraId="7463A77D" w14:textId="54720927" w:rsidR="00CE1043" w:rsidRPr="00302AC9" w:rsidRDefault="00145D1F" w:rsidP="007F7E0D">
      <w:pPr>
        <w:pStyle w:val="NormalWeb"/>
        <w:spacing w:before="0" w:beforeAutospacing="0" w:after="0" w:afterAutospacing="0"/>
        <w:rPr>
          <w:rFonts w:ascii="Helvetica" w:hAnsi="Helvetica" w:cs="Helvetica"/>
          <w:b/>
          <w:sz w:val="18"/>
          <w:szCs w:val="18"/>
        </w:rPr>
      </w:pPr>
      <w:r w:rsidRPr="00302AC9">
        <w:rPr>
          <w:rFonts w:ascii="Helvetica" w:hAnsi="Helvetica" w:cs="Helvetica"/>
          <w:b/>
          <w:sz w:val="18"/>
          <w:szCs w:val="18"/>
        </w:rPr>
        <w:t>The potency Units of BOTOX</w:t>
      </w:r>
      <w:r w:rsidR="00C0023E" w:rsidRPr="00C0023E">
        <w:rPr>
          <w:rFonts w:ascii="Helvetica" w:hAnsi="Helvetica" w:cs="Helvetica"/>
          <w:b/>
          <w:sz w:val="18"/>
          <w:szCs w:val="18"/>
          <w:vertAlign w:val="superscript"/>
        </w:rPr>
        <w:t>®</w:t>
      </w:r>
      <w:r w:rsidRPr="00302AC9">
        <w:rPr>
          <w:rFonts w:ascii="Helvetica" w:hAnsi="Helvetica" w:cs="Helvetica"/>
          <w:b/>
          <w:sz w:val="18"/>
          <w:szCs w:val="18"/>
        </w:rPr>
        <w:t xml:space="preserve"> Cosmetic are specific to the preparation and assay method utilized. BOTOX</w:t>
      </w:r>
      <w:r w:rsidR="00C0023E" w:rsidRPr="00C0023E">
        <w:rPr>
          <w:rFonts w:ascii="Helvetica" w:hAnsi="Helvetica" w:cs="Helvetica"/>
          <w:b/>
          <w:sz w:val="18"/>
          <w:szCs w:val="18"/>
          <w:vertAlign w:val="superscript"/>
        </w:rPr>
        <w:t>®</w:t>
      </w:r>
      <w:r w:rsidRPr="00302AC9">
        <w:rPr>
          <w:rFonts w:ascii="Helvetica" w:hAnsi="Helvetica" w:cs="Helvetica"/>
          <w:b/>
          <w:sz w:val="18"/>
          <w:szCs w:val="18"/>
        </w:rPr>
        <w:t xml:space="preserve"> Cosmetic is not equivalent to other preparations of botulinum toxin products, and therefore, Units of biological activity of BOTOX</w:t>
      </w:r>
      <w:r w:rsidR="00C0023E" w:rsidRPr="00C0023E">
        <w:rPr>
          <w:rFonts w:ascii="Helvetica" w:hAnsi="Helvetica" w:cs="Helvetica"/>
          <w:b/>
          <w:sz w:val="18"/>
          <w:szCs w:val="18"/>
          <w:vertAlign w:val="superscript"/>
        </w:rPr>
        <w:t>®</w:t>
      </w:r>
      <w:r w:rsidRPr="00302AC9">
        <w:rPr>
          <w:rFonts w:ascii="Helvetica" w:hAnsi="Helvetica" w:cs="Helvetica"/>
          <w:b/>
          <w:sz w:val="18"/>
          <w:szCs w:val="18"/>
        </w:rPr>
        <w:t xml:space="preserve"> Cosmetic cannot be compared to nor converted into Units of any other botulinum toxin products assessed with any other specific assay method</w:t>
      </w:r>
      <w:r w:rsidR="00416037">
        <w:rPr>
          <w:rFonts w:ascii="Helvetica" w:hAnsi="Helvetica" w:cs="Helvetica"/>
          <w:b/>
          <w:sz w:val="18"/>
          <w:szCs w:val="18"/>
        </w:rPr>
        <w:t>.</w:t>
      </w:r>
    </w:p>
    <w:p w14:paraId="2E8E0C38" w14:textId="77777777" w:rsidR="00BC65F3" w:rsidRDefault="00BC65F3" w:rsidP="00660CD9">
      <w:pPr>
        <w:pStyle w:val="Default"/>
        <w:outlineLvl w:val="0"/>
        <w:rPr>
          <w:b/>
          <w:bCs/>
          <w:sz w:val="18"/>
          <w:szCs w:val="18"/>
        </w:rPr>
      </w:pPr>
    </w:p>
    <w:p w14:paraId="2E1D67F6" w14:textId="67E09A58" w:rsidR="00CE1043" w:rsidRDefault="00CE1043" w:rsidP="00660CD9">
      <w:pPr>
        <w:pStyle w:val="Default"/>
        <w:outlineLvl w:val="0"/>
        <w:rPr>
          <w:sz w:val="18"/>
          <w:szCs w:val="18"/>
        </w:rPr>
      </w:pPr>
      <w:r>
        <w:rPr>
          <w:b/>
          <w:bCs/>
          <w:sz w:val="18"/>
          <w:szCs w:val="18"/>
        </w:rPr>
        <w:t xml:space="preserve">Spread of Toxin Effect </w:t>
      </w:r>
    </w:p>
    <w:p w14:paraId="10299219" w14:textId="77777777" w:rsidR="00D050EB" w:rsidRDefault="00CE1043" w:rsidP="00CE1043">
      <w:pPr>
        <w:pStyle w:val="Default"/>
        <w:rPr>
          <w:sz w:val="18"/>
          <w:szCs w:val="18"/>
        </w:rPr>
      </w:pPr>
      <w:r>
        <w:rPr>
          <w:sz w:val="18"/>
          <w:szCs w:val="18"/>
        </w:rPr>
        <w:t>Please refer to Boxed Warning for Distant Spread of Toxin Effect.</w:t>
      </w:r>
    </w:p>
    <w:p w14:paraId="392A2474" w14:textId="3AD172B0" w:rsidR="00CE1043" w:rsidRDefault="00CE1043" w:rsidP="00CE1043">
      <w:pPr>
        <w:pStyle w:val="Default"/>
        <w:rPr>
          <w:sz w:val="18"/>
          <w:szCs w:val="18"/>
        </w:rPr>
      </w:pPr>
      <w:r>
        <w:rPr>
          <w:sz w:val="18"/>
          <w:szCs w:val="18"/>
        </w:rPr>
        <w:t xml:space="preserve"> </w:t>
      </w:r>
    </w:p>
    <w:p w14:paraId="20C5590C" w14:textId="4BF355E9" w:rsidR="00CE1043" w:rsidRDefault="00CE1043" w:rsidP="00CE1043">
      <w:pPr>
        <w:pStyle w:val="Default"/>
        <w:rPr>
          <w:sz w:val="18"/>
          <w:szCs w:val="18"/>
        </w:rPr>
      </w:pPr>
      <w:r>
        <w:rPr>
          <w:sz w:val="18"/>
          <w:szCs w:val="18"/>
        </w:rPr>
        <w:t>No definitive serious adverse event reports of distant spread of toxin effect associated with dermatologic use of BOTOX</w:t>
      </w:r>
      <w:r w:rsidRPr="00CE1043">
        <w:rPr>
          <w:sz w:val="18"/>
          <w:szCs w:val="18"/>
          <w:vertAlign w:val="superscript"/>
        </w:rPr>
        <w:t>®</w:t>
      </w:r>
      <w:r>
        <w:rPr>
          <w:sz w:val="18"/>
          <w:szCs w:val="18"/>
        </w:rPr>
        <w:t xml:space="preserve"> Cosmetic at the labeled dose of 20 Units (for glabellar lines), 24 Units (for lateral canthal lines), </w:t>
      </w:r>
      <w:r w:rsidR="00E422C7">
        <w:rPr>
          <w:sz w:val="18"/>
          <w:szCs w:val="18"/>
        </w:rPr>
        <w:t>40 Units (for</w:t>
      </w:r>
      <w:r w:rsidR="005778EB">
        <w:rPr>
          <w:sz w:val="18"/>
          <w:szCs w:val="18"/>
        </w:rPr>
        <w:t xml:space="preserve"> forehead lines with glabellar lines</w:t>
      </w:r>
      <w:r w:rsidR="00E422C7">
        <w:rPr>
          <w:sz w:val="18"/>
          <w:szCs w:val="18"/>
        </w:rPr>
        <w:t xml:space="preserve">), </w:t>
      </w:r>
      <w:r>
        <w:rPr>
          <w:sz w:val="18"/>
          <w:szCs w:val="18"/>
        </w:rPr>
        <w:t>44 Units (for simultaneous treatment of lateral canthal lines and glabellar lines)</w:t>
      </w:r>
      <w:r w:rsidR="00E422C7">
        <w:rPr>
          <w:sz w:val="18"/>
          <w:szCs w:val="18"/>
        </w:rPr>
        <w:t>, and 64 Units (for simultaneous treatment of</w:t>
      </w:r>
      <w:r w:rsidR="005778EB">
        <w:rPr>
          <w:sz w:val="18"/>
          <w:szCs w:val="18"/>
        </w:rPr>
        <w:t xml:space="preserve"> lateral canthal lines, glabellar lines, and forehead lines</w:t>
      </w:r>
      <w:r w:rsidR="00E422C7">
        <w:rPr>
          <w:sz w:val="18"/>
          <w:szCs w:val="18"/>
        </w:rPr>
        <w:t>)</w:t>
      </w:r>
      <w:r>
        <w:rPr>
          <w:sz w:val="18"/>
          <w:szCs w:val="18"/>
        </w:rPr>
        <w:t xml:space="preserve"> have been reported. </w:t>
      </w:r>
      <w:r w:rsidR="003646E1">
        <w:rPr>
          <w:sz w:val="18"/>
          <w:szCs w:val="18"/>
        </w:rPr>
        <w:t>Patients or caregivers should be advised to seek immediate medical care if swallowing, speech</w:t>
      </w:r>
      <w:r w:rsidR="00D050EB">
        <w:rPr>
          <w:sz w:val="18"/>
          <w:szCs w:val="18"/>
        </w:rPr>
        <w:t>,</w:t>
      </w:r>
      <w:r w:rsidR="003646E1">
        <w:rPr>
          <w:sz w:val="18"/>
          <w:szCs w:val="18"/>
        </w:rPr>
        <w:t xml:space="preserve"> or respiratory disorders occur.</w:t>
      </w:r>
    </w:p>
    <w:p w14:paraId="4DF5F235" w14:textId="77777777" w:rsidR="00CE1043" w:rsidRDefault="00CE1043" w:rsidP="00CE1043">
      <w:pPr>
        <w:pStyle w:val="Default"/>
        <w:rPr>
          <w:b/>
          <w:bCs/>
          <w:sz w:val="18"/>
          <w:szCs w:val="18"/>
        </w:rPr>
      </w:pPr>
    </w:p>
    <w:p w14:paraId="6F59B4B7" w14:textId="77777777" w:rsidR="00CE1043" w:rsidRDefault="00CE1043" w:rsidP="00660CD9">
      <w:pPr>
        <w:pStyle w:val="Default"/>
        <w:outlineLvl w:val="0"/>
        <w:rPr>
          <w:sz w:val="18"/>
          <w:szCs w:val="18"/>
        </w:rPr>
      </w:pPr>
      <w:r>
        <w:rPr>
          <w:b/>
          <w:bCs/>
          <w:sz w:val="18"/>
          <w:szCs w:val="18"/>
        </w:rPr>
        <w:t xml:space="preserve">Serious Adverse Reactions </w:t>
      </w:r>
      <w:proofErr w:type="gramStart"/>
      <w:r>
        <w:rPr>
          <w:b/>
          <w:bCs/>
          <w:sz w:val="18"/>
          <w:szCs w:val="18"/>
        </w:rPr>
        <w:t>With</w:t>
      </w:r>
      <w:proofErr w:type="gramEnd"/>
      <w:r>
        <w:rPr>
          <w:b/>
          <w:bCs/>
          <w:sz w:val="18"/>
          <w:szCs w:val="18"/>
        </w:rPr>
        <w:t xml:space="preserve"> Unapproved Use </w:t>
      </w:r>
    </w:p>
    <w:p w14:paraId="5F76CC09" w14:textId="6D7F5F39" w:rsidR="00CE1043" w:rsidRDefault="00CE1043" w:rsidP="00CE1043">
      <w:pPr>
        <w:pStyle w:val="Default"/>
        <w:rPr>
          <w:sz w:val="18"/>
          <w:szCs w:val="18"/>
        </w:rPr>
      </w:pPr>
      <w:r>
        <w:rPr>
          <w:sz w:val="18"/>
          <w:szCs w:val="18"/>
        </w:rPr>
        <w:t>Serious adverse reactions, including excessive weakness, dysphagia, and aspiration pneumonia, with some adverse reactions associated with fatal outcomes, have been reported in patients who received BOTOX</w:t>
      </w:r>
      <w:r w:rsidR="007B5B0A" w:rsidRPr="00CE1043">
        <w:rPr>
          <w:sz w:val="18"/>
          <w:szCs w:val="18"/>
          <w:vertAlign w:val="superscript"/>
        </w:rPr>
        <w:t>®</w:t>
      </w:r>
      <w:r>
        <w:rPr>
          <w:sz w:val="12"/>
          <w:szCs w:val="12"/>
        </w:rPr>
        <w:t xml:space="preserve"> </w:t>
      </w:r>
      <w:r>
        <w:rPr>
          <w:sz w:val="18"/>
          <w:szCs w:val="18"/>
        </w:rPr>
        <w:t xml:space="preserve">injections for unapproved uses. In these cases, the adverse reactions were not necessarily related to distant spread of </w:t>
      </w:r>
      <w:proofErr w:type="gramStart"/>
      <w:r>
        <w:rPr>
          <w:sz w:val="18"/>
          <w:szCs w:val="18"/>
        </w:rPr>
        <w:t>toxin, but</w:t>
      </w:r>
      <w:proofErr w:type="gramEnd"/>
      <w:r>
        <w:rPr>
          <w:sz w:val="18"/>
          <w:szCs w:val="18"/>
        </w:rPr>
        <w:t xml:space="preserve"> may have resulted from the administration of BOTOX</w:t>
      </w:r>
      <w:r w:rsidR="007B5B0A" w:rsidRPr="00CE1043">
        <w:rPr>
          <w:sz w:val="18"/>
          <w:szCs w:val="18"/>
          <w:vertAlign w:val="superscript"/>
        </w:rPr>
        <w:t>®</w:t>
      </w:r>
      <w:r>
        <w:rPr>
          <w:sz w:val="18"/>
          <w:szCs w:val="18"/>
        </w:rPr>
        <w:t xml:space="preserve"> to the site of injection and/or adjacent structures. In several of the cases, patients had </w:t>
      </w:r>
      <w:r w:rsidR="00D21641">
        <w:rPr>
          <w:sz w:val="18"/>
          <w:szCs w:val="18"/>
        </w:rPr>
        <w:t>preexisting</w:t>
      </w:r>
      <w:r>
        <w:rPr>
          <w:sz w:val="18"/>
          <w:szCs w:val="18"/>
        </w:rPr>
        <w:t xml:space="preserve"> dysphagia or other significant disabilities. There is insufficient information to identify factors associated with an increased risk for adverse reactions associated with the unapproved uses of BOTOX</w:t>
      </w:r>
      <w:r w:rsidR="007B5B0A" w:rsidRPr="00CE1043">
        <w:rPr>
          <w:sz w:val="18"/>
          <w:szCs w:val="18"/>
          <w:vertAlign w:val="superscript"/>
        </w:rPr>
        <w:t>®</w:t>
      </w:r>
      <w:r>
        <w:rPr>
          <w:sz w:val="18"/>
          <w:szCs w:val="18"/>
        </w:rPr>
        <w:t>. The safety and effectiveness of BOTOX</w:t>
      </w:r>
      <w:r w:rsidRPr="00616A1D">
        <w:rPr>
          <w:sz w:val="18"/>
          <w:szCs w:val="12"/>
          <w:vertAlign w:val="superscript"/>
        </w:rPr>
        <w:t>®</w:t>
      </w:r>
      <w:r>
        <w:rPr>
          <w:sz w:val="12"/>
          <w:szCs w:val="12"/>
        </w:rPr>
        <w:t xml:space="preserve"> </w:t>
      </w:r>
      <w:r>
        <w:rPr>
          <w:sz w:val="18"/>
          <w:szCs w:val="18"/>
        </w:rPr>
        <w:t xml:space="preserve">for unapproved uses have not been established. </w:t>
      </w:r>
    </w:p>
    <w:p w14:paraId="6B7E6356" w14:textId="77777777" w:rsidR="00CE1043" w:rsidRDefault="00CE1043" w:rsidP="00CE1043">
      <w:pPr>
        <w:pStyle w:val="Default"/>
        <w:rPr>
          <w:b/>
          <w:bCs/>
          <w:sz w:val="18"/>
          <w:szCs w:val="18"/>
        </w:rPr>
      </w:pPr>
    </w:p>
    <w:p w14:paraId="3949244D" w14:textId="77777777" w:rsidR="00694D80" w:rsidRDefault="00694D80" w:rsidP="00660CD9">
      <w:pPr>
        <w:pStyle w:val="Default"/>
        <w:outlineLvl w:val="0"/>
        <w:rPr>
          <w:b/>
          <w:bCs/>
          <w:sz w:val="18"/>
          <w:szCs w:val="18"/>
        </w:rPr>
      </w:pPr>
    </w:p>
    <w:p w14:paraId="007D8011" w14:textId="62413DAE" w:rsidR="00694D80" w:rsidRDefault="00694D80" w:rsidP="00694D80">
      <w:pPr>
        <w:pStyle w:val="Default"/>
        <w:outlineLvl w:val="0"/>
        <w:rPr>
          <w:b/>
          <w:bCs/>
          <w:sz w:val="18"/>
          <w:szCs w:val="18"/>
        </w:rPr>
      </w:pPr>
    </w:p>
    <w:p w14:paraId="69A6CC03" w14:textId="77777777" w:rsidR="00694D80" w:rsidRDefault="00694D80" w:rsidP="00660CD9">
      <w:pPr>
        <w:pStyle w:val="Default"/>
        <w:outlineLvl w:val="0"/>
        <w:rPr>
          <w:b/>
          <w:bCs/>
          <w:sz w:val="18"/>
          <w:szCs w:val="18"/>
        </w:rPr>
      </w:pPr>
    </w:p>
    <w:p w14:paraId="6AB5D3EC" w14:textId="134E2E0B" w:rsidR="00CE1043" w:rsidRDefault="00CE1043" w:rsidP="00660CD9">
      <w:pPr>
        <w:pStyle w:val="Default"/>
        <w:outlineLvl w:val="0"/>
        <w:rPr>
          <w:sz w:val="18"/>
          <w:szCs w:val="18"/>
        </w:rPr>
      </w:pPr>
      <w:r>
        <w:rPr>
          <w:b/>
          <w:bCs/>
          <w:sz w:val="18"/>
          <w:szCs w:val="18"/>
        </w:rPr>
        <w:t xml:space="preserve">Hypersensitivity Reactions </w:t>
      </w:r>
    </w:p>
    <w:p w14:paraId="5C900456" w14:textId="1D856F92" w:rsidR="00CE1043" w:rsidRDefault="00CE1043" w:rsidP="00CE1043">
      <w:pPr>
        <w:pStyle w:val="Default"/>
        <w:rPr>
          <w:sz w:val="18"/>
          <w:szCs w:val="18"/>
        </w:rPr>
      </w:pPr>
      <w:r>
        <w:rPr>
          <w:sz w:val="18"/>
          <w:szCs w:val="18"/>
        </w:rPr>
        <w:t xml:space="preserve">Serious and/or immediate hypersensitivity reactions have been reported. These reactions include anaphylaxis, serum sickness, urticaria, soft-tissue edema, and dyspnea. </w:t>
      </w:r>
      <w:r w:rsidR="00BC5F08">
        <w:rPr>
          <w:rFonts w:ascii="Arial" w:hAnsi="Arial" w:cs="Arial"/>
          <w:color w:val="1D1D1D"/>
          <w:sz w:val="18"/>
          <w:szCs w:val="18"/>
          <w:shd w:val="clear" w:color="auto" w:fill="FFFFFF"/>
        </w:rPr>
        <w:t>If such a reaction occurs, discontinue further injection of BOTOX Cosmetic and immediately institute appropriate medical therapy.</w:t>
      </w:r>
      <w:r w:rsidR="001838D3">
        <w:rPr>
          <w:rFonts w:ascii="Arial" w:hAnsi="Arial" w:cs="Arial"/>
          <w:color w:val="1D1D1D"/>
          <w:sz w:val="18"/>
          <w:szCs w:val="18"/>
          <w:shd w:val="clear" w:color="auto" w:fill="FFFFFF"/>
        </w:rPr>
        <w:t xml:space="preserve"> </w:t>
      </w:r>
      <w:r>
        <w:rPr>
          <w:sz w:val="18"/>
          <w:szCs w:val="18"/>
        </w:rPr>
        <w:t xml:space="preserve">One fatal case of anaphylaxis has been reported in which lidocaine was used as the diluent and, consequently, the causal agent cannot be reliably determined. </w:t>
      </w:r>
    </w:p>
    <w:p w14:paraId="1C033DE5" w14:textId="77777777" w:rsidR="00CE1043" w:rsidRDefault="00CE1043" w:rsidP="00CE1043">
      <w:pPr>
        <w:pStyle w:val="Default"/>
        <w:rPr>
          <w:b/>
          <w:bCs/>
          <w:sz w:val="18"/>
          <w:szCs w:val="18"/>
        </w:rPr>
      </w:pPr>
    </w:p>
    <w:p w14:paraId="436A4E30" w14:textId="77777777" w:rsidR="00CE1043" w:rsidRDefault="00CE1043" w:rsidP="00660CD9">
      <w:pPr>
        <w:pStyle w:val="Default"/>
        <w:outlineLvl w:val="0"/>
        <w:rPr>
          <w:sz w:val="18"/>
          <w:szCs w:val="18"/>
        </w:rPr>
      </w:pPr>
      <w:r>
        <w:rPr>
          <w:b/>
          <w:bCs/>
          <w:sz w:val="18"/>
          <w:szCs w:val="18"/>
        </w:rPr>
        <w:t xml:space="preserve">Cardiovascular System </w:t>
      </w:r>
    </w:p>
    <w:p w14:paraId="604652AA" w14:textId="04F67B3D" w:rsidR="00CE1043" w:rsidRDefault="00CE1043" w:rsidP="00CE1043">
      <w:pPr>
        <w:pStyle w:val="Default"/>
        <w:rPr>
          <w:sz w:val="18"/>
          <w:szCs w:val="18"/>
        </w:rPr>
      </w:pPr>
      <w:r>
        <w:rPr>
          <w:sz w:val="18"/>
          <w:szCs w:val="18"/>
        </w:rPr>
        <w:t>There have been reports following administration of BOTOX</w:t>
      </w:r>
      <w:r w:rsidR="007B5B0A" w:rsidRPr="00CE1043">
        <w:rPr>
          <w:sz w:val="18"/>
          <w:szCs w:val="18"/>
          <w:vertAlign w:val="superscript"/>
        </w:rPr>
        <w:t>®</w:t>
      </w:r>
      <w:r>
        <w:rPr>
          <w:sz w:val="12"/>
          <w:szCs w:val="12"/>
        </w:rPr>
        <w:t xml:space="preserve"> </w:t>
      </w:r>
      <w:r>
        <w:rPr>
          <w:sz w:val="18"/>
          <w:szCs w:val="18"/>
        </w:rPr>
        <w:t>of adverse events involving the cardiovascular system, including arrhythmia and myocardial infarction, some with fatal outcomes. Some of these patients had risk factors</w:t>
      </w:r>
      <w:r w:rsidR="00D21641">
        <w:rPr>
          <w:sz w:val="18"/>
          <w:szCs w:val="18"/>
        </w:rPr>
        <w:t>,</w:t>
      </w:r>
      <w:r>
        <w:rPr>
          <w:sz w:val="18"/>
          <w:szCs w:val="18"/>
        </w:rPr>
        <w:t xml:space="preserve"> including </w:t>
      </w:r>
      <w:r w:rsidR="00D21641">
        <w:rPr>
          <w:sz w:val="18"/>
          <w:szCs w:val="18"/>
        </w:rPr>
        <w:t>preexisting</w:t>
      </w:r>
      <w:r>
        <w:rPr>
          <w:sz w:val="18"/>
          <w:szCs w:val="18"/>
        </w:rPr>
        <w:t xml:space="preserve"> cardiovascular disease. Use caution when administering to patients with </w:t>
      </w:r>
      <w:r w:rsidR="00D21641">
        <w:rPr>
          <w:sz w:val="18"/>
          <w:szCs w:val="18"/>
        </w:rPr>
        <w:t>preexisting</w:t>
      </w:r>
      <w:r>
        <w:rPr>
          <w:sz w:val="18"/>
          <w:szCs w:val="18"/>
        </w:rPr>
        <w:t xml:space="preserve"> cardiovascular disease. </w:t>
      </w:r>
    </w:p>
    <w:p w14:paraId="04DE2BB0" w14:textId="77777777" w:rsidR="00CE1043" w:rsidRDefault="00CE1043" w:rsidP="00CE1043">
      <w:pPr>
        <w:pStyle w:val="Default"/>
        <w:rPr>
          <w:b/>
          <w:bCs/>
          <w:sz w:val="18"/>
          <w:szCs w:val="18"/>
        </w:rPr>
      </w:pPr>
    </w:p>
    <w:p w14:paraId="5A3EAFF0" w14:textId="4C82F06A" w:rsidR="00CE1043" w:rsidRDefault="00A33B0D" w:rsidP="00660CD9">
      <w:pPr>
        <w:pStyle w:val="Default"/>
        <w:outlineLvl w:val="0"/>
        <w:rPr>
          <w:sz w:val="18"/>
          <w:szCs w:val="18"/>
        </w:rPr>
      </w:pPr>
      <w:r>
        <w:rPr>
          <w:b/>
          <w:bCs/>
          <w:sz w:val="18"/>
          <w:szCs w:val="18"/>
        </w:rPr>
        <w:t xml:space="preserve">Increased Risk of Clinically Significant Effects </w:t>
      </w:r>
      <w:proofErr w:type="gramStart"/>
      <w:r w:rsidR="00D050EB">
        <w:rPr>
          <w:b/>
          <w:bCs/>
          <w:sz w:val="18"/>
          <w:szCs w:val="18"/>
        </w:rPr>
        <w:t>W</w:t>
      </w:r>
      <w:r>
        <w:rPr>
          <w:b/>
          <w:bCs/>
          <w:sz w:val="18"/>
          <w:szCs w:val="18"/>
        </w:rPr>
        <w:t>ith</w:t>
      </w:r>
      <w:proofErr w:type="gramEnd"/>
      <w:r>
        <w:rPr>
          <w:b/>
          <w:bCs/>
          <w:sz w:val="18"/>
          <w:szCs w:val="18"/>
        </w:rPr>
        <w:t xml:space="preserve"> </w:t>
      </w:r>
      <w:r w:rsidR="00E8542B">
        <w:rPr>
          <w:b/>
          <w:bCs/>
          <w:sz w:val="18"/>
          <w:szCs w:val="18"/>
        </w:rPr>
        <w:t>Preexisting</w:t>
      </w:r>
      <w:r w:rsidR="00CE1043">
        <w:rPr>
          <w:b/>
          <w:bCs/>
          <w:sz w:val="18"/>
          <w:szCs w:val="18"/>
        </w:rPr>
        <w:t xml:space="preserve"> Neuromuscular Disorders </w:t>
      </w:r>
    </w:p>
    <w:p w14:paraId="31F08273" w14:textId="4176CACD" w:rsidR="00CE1043" w:rsidRDefault="00CE1043" w:rsidP="00CE1043">
      <w:pPr>
        <w:pStyle w:val="Default"/>
        <w:rPr>
          <w:sz w:val="18"/>
          <w:szCs w:val="18"/>
        </w:rPr>
      </w:pPr>
      <w:r>
        <w:rPr>
          <w:sz w:val="18"/>
          <w:szCs w:val="18"/>
        </w:rPr>
        <w:t>Patients with neuromuscular disorders may be at increased risk of clinically significant effects</w:t>
      </w:r>
      <w:r w:rsidR="00CB38FC">
        <w:rPr>
          <w:sz w:val="18"/>
          <w:szCs w:val="18"/>
        </w:rPr>
        <w:t>,</w:t>
      </w:r>
      <w:r>
        <w:rPr>
          <w:sz w:val="18"/>
          <w:szCs w:val="18"/>
        </w:rPr>
        <w:t xml:space="preserve"> including generalized muscle weakness, diplopia, ptosis, dysphonia, dysarthria, severe dysphagia, and respiratory compromise from onabotulinumtoxinA </w:t>
      </w:r>
      <w:r w:rsidRPr="00616A1D">
        <w:rPr>
          <w:iCs/>
          <w:sz w:val="18"/>
          <w:szCs w:val="18"/>
        </w:rPr>
        <w:t>(</w:t>
      </w:r>
      <w:r>
        <w:rPr>
          <w:sz w:val="18"/>
          <w:szCs w:val="18"/>
        </w:rPr>
        <w:t xml:space="preserve">see </w:t>
      </w:r>
      <w:r>
        <w:rPr>
          <w:i/>
          <w:iCs/>
          <w:sz w:val="18"/>
          <w:szCs w:val="18"/>
        </w:rPr>
        <w:t>Warnings and Precautions</w:t>
      </w:r>
      <w:r w:rsidRPr="00616A1D">
        <w:rPr>
          <w:iCs/>
          <w:sz w:val="18"/>
          <w:szCs w:val="18"/>
        </w:rPr>
        <w:t>).</w:t>
      </w:r>
      <w:r>
        <w:rPr>
          <w:i/>
          <w:iCs/>
          <w:sz w:val="18"/>
          <w:szCs w:val="18"/>
        </w:rPr>
        <w:t xml:space="preserve"> </w:t>
      </w:r>
      <w:r w:rsidR="004B5E6A" w:rsidRPr="00051232">
        <w:rPr>
          <w:sz w:val="18"/>
          <w:szCs w:val="18"/>
        </w:rPr>
        <w:t>Monitor individuals with peripheral motor neuropathic diseases, amyotrophic lateral sclerosis or neuromuscular junction disorders (eg, myasthenia gravis or Lambert-Eaton syndrome) when given botulinum toxin.</w:t>
      </w:r>
    </w:p>
    <w:p w14:paraId="72C93DB5" w14:textId="77777777" w:rsidR="00CE1043" w:rsidRDefault="00CE1043" w:rsidP="00CE1043">
      <w:pPr>
        <w:pStyle w:val="Default"/>
        <w:rPr>
          <w:b/>
          <w:bCs/>
          <w:sz w:val="18"/>
          <w:szCs w:val="18"/>
        </w:rPr>
      </w:pPr>
    </w:p>
    <w:p w14:paraId="2D5130FB" w14:textId="77777777" w:rsidR="00CE1043" w:rsidRDefault="00CE1043" w:rsidP="00660CD9">
      <w:pPr>
        <w:pStyle w:val="Default"/>
        <w:outlineLvl w:val="0"/>
        <w:rPr>
          <w:sz w:val="18"/>
          <w:szCs w:val="18"/>
        </w:rPr>
      </w:pPr>
      <w:r>
        <w:rPr>
          <w:b/>
          <w:bCs/>
          <w:sz w:val="18"/>
          <w:szCs w:val="18"/>
        </w:rPr>
        <w:t xml:space="preserve">Dysphagia and Breathing Difficulties </w:t>
      </w:r>
    </w:p>
    <w:p w14:paraId="1ED0DA23" w14:textId="2D71BFB2" w:rsidR="00CE1043" w:rsidRDefault="00CE1043" w:rsidP="00CE1043">
      <w:pPr>
        <w:pStyle w:val="Default"/>
        <w:rPr>
          <w:sz w:val="18"/>
          <w:szCs w:val="18"/>
        </w:rPr>
      </w:pPr>
      <w:r>
        <w:rPr>
          <w:sz w:val="18"/>
          <w:szCs w:val="18"/>
        </w:rPr>
        <w:t>Treatment with BOTOX</w:t>
      </w:r>
      <w:r w:rsidR="007B5B0A" w:rsidRPr="00CE1043">
        <w:rPr>
          <w:sz w:val="18"/>
          <w:szCs w:val="18"/>
          <w:vertAlign w:val="superscript"/>
        </w:rPr>
        <w:t>®</w:t>
      </w:r>
      <w:r>
        <w:rPr>
          <w:sz w:val="12"/>
          <w:szCs w:val="12"/>
        </w:rPr>
        <w:t xml:space="preserve"> </w:t>
      </w:r>
      <w:r>
        <w:rPr>
          <w:sz w:val="18"/>
          <w:szCs w:val="18"/>
        </w:rPr>
        <w:t xml:space="preserve">and other botulinum toxin products can result in swallowing or breathing difficulties. Patients with </w:t>
      </w:r>
      <w:r w:rsidR="00E8542B">
        <w:rPr>
          <w:sz w:val="18"/>
          <w:szCs w:val="18"/>
        </w:rPr>
        <w:t>preexisting</w:t>
      </w:r>
      <w:r>
        <w:rPr>
          <w:sz w:val="18"/>
          <w:szCs w:val="18"/>
        </w:rPr>
        <w:t xml:space="preserve"> swallowing or breathing difficulties may be more susceptible to these complications. In most cases, this is a consequence of weakening of muscles </w:t>
      </w:r>
      <w:proofErr w:type="gramStart"/>
      <w:r>
        <w:rPr>
          <w:sz w:val="18"/>
          <w:szCs w:val="18"/>
        </w:rPr>
        <w:t>in the area of</w:t>
      </w:r>
      <w:proofErr w:type="gramEnd"/>
      <w:r>
        <w:rPr>
          <w:sz w:val="18"/>
          <w:szCs w:val="18"/>
        </w:rPr>
        <w:t xml:space="preserve"> injection that are involved in breathing or oropharyngeal muscles that control swallowing or breathing </w:t>
      </w:r>
      <w:r w:rsidRPr="00616A1D">
        <w:rPr>
          <w:iCs/>
          <w:sz w:val="18"/>
          <w:szCs w:val="18"/>
        </w:rPr>
        <w:t>(</w:t>
      </w:r>
      <w:r>
        <w:rPr>
          <w:sz w:val="18"/>
          <w:szCs w:val="18"/>
        </w:rPr>
        <w:t>see</w:t>
      </w:r>
      <w:r w:rsidR="00B814E7">
        <w:rPr>
          <w:sz w:val="18"/>
          <w:szCs w:val="18"/>
        </w:rPr>
        <w:t xml:space="preserve"> </w:t>
      </w:r>
      <w:r>
        <w:rPr>
          <w:i/>
          <w:iCs/>
          <w:sz w:val="18"/>
          <w:szCs w:val="18"/>
        </w:rPr>
        <w:t>Boxed Warning</w:t>
      </w:r>
      <w:r w:rsidRPr="00616A1D">
        <w:rPr>
          <w:iCs/>
          <w:sz w:val="18"/>
          <w:szCs w:val="18"/>
        </w:rPr>
        <w:t>)</w:t>
      </w:r>
      <w:r w:rsidRPr="00D050EB">
        <w:rPr>
          <w:sz w:val="18"/>
          <w:szCs w:val="18"/>
        </w:rPr>
        <w:t>.</w:t>
      </w:r>
      <w:r>
        <w:rPr>
          <w:sz w:val="18"/>
          <w:szCs w:val="18"/>
        </w:rPr>
        <w:t xml:space="preserve"> </w:t>
      </w:r>
    </w:p>
    <w:p w14:paraId="4D4D3918" w14:textId="77777777" w:rsidR="00CE1043" w:rsidRDefault="00CE1043" w:rsidP="00CE1043">
      <w:pPr>
        <w:pStyle w:val="Default"/>
        <w:rPr>
          <w:sz w:val="18"/>
          <w:szCs w:val="18"/>
        </w:rPr>
      </w:pPr>
    </w:p>
    <w:p w14:paraId="26943965" w14:textId="50BD0B66" w:rsidR="00CE1043" w:rsidRPr="00CE1043" w:rsidRDefault="00E77693" w:rsidP="00660CD9">
      <w:pPr>
        <w:pStyle w:val="Default"/>
        <w:outlineLvl w:val="0"/>
        <w:rPr>
          <w:b/>
          <w:sz w:val="18"/>
          <w:szCs w:val="18"/>
        </w:rPr>
      </w:pPr>
      <w:r>
        <w:rPr>
          <w:b/>
          <w:sz w:val="18"/>
          <w:szCs w:val="18"/>
        </w:rPr>
        <w:t>Preexisting</w:t>
      </w:r>
      <w:r w:rsidR="00CE1043">
        <w:rPr>
          <w:b/>
          <w:sz w:val="18"/>
          <w:szCs w:val="18"/>
        </w:rPr>
        <w:t xml:space="preserve"> C</w:t>
      </w:r>
      <w:r w:rsidR="00CE1043" w:rsidRPr="00CE1043">
        <w:rPr>
          <w:b/>
          <w:sz w:val="18"/>
          <w:szCs w:val="18"/>
        </w:rPr>
        <w:t xml:space="preserve">onditions at the </w:t>
      </w:r>
      <w:r w:rsidR="00CE1043">
        <w:rPr>
          <w:b/>
          <w:sz w:val="18"/>
          <w:szCs w:val="18"/>
        </w:rPr>
        <w:t>Injection S</w:t>
      </w:r>
      <w:r w:rsidR="00CE1043" w:rsidRPr="00CE1043">
        <w:rPr>
          <w:b/>
          <w:sz w:val="18"/>
          <w:szCs w:val="18"/>
        </w:rPr>
        <w:t>ite</w:t>
      </w:r>
    </w:p>
    <w:p w14:paraId="1F6A8BD8" w14:textId="5E251BDE" w:rsidR="00CE1043" w:rsidRDefault="00642C8F" w:rsidP="00CE1043">
      <w:pPr>
        <w:pStyle w:val="Default"/>
        <w:rPr>
          <w:sz w:val="18"/>
          <w:szCs w:val="18"/>
        </w:rPr>
      </w:pPr>
      <w:r>
        <w:rPr>
          <w:sz w:val="18"/>
          <w:szCs w:val="18"/>
        </w:rPr>
        <w:t>Use caution</w:t>
      </w:r>
      <w:r w:rsidR="00CE1043">
        <w:rPr>
          <w:sz w:val="18"/>
          <w:szCs w:val="18"/>
        </w:rPr>
        <w:t xml:space="preserve"> when BOTOX</w:t>
      </w:r>
      <w:r w:rsidR="007B5B0A" w:rsidRPr="00CE1043">
        <w:rPr>
          <w:sz w:val="18"/>
          <w:szCs w:val="18"/>
          <w:vertAlign w:val="superscript"/>
        </w:rPr>
        <w:t>®</w:t>
      </w:r>
      <w:r w:rsidR="00CE1043">
        <w:rPr>
          <w:sz w:val="12"/>
          <w:szCs w:val="12"/>
        </w:rPr>
        <w:t xml:space="preserve"> </w:t>
      </w:r>
      <w:r w:rsidR="00CE1043">
        <w:rPr>
          <w:sz w:val="18"/>
          <w:szCs w:val="18"/>
        </w:rPr>
        <w:t xml:space="preserve">Cosmetic treatment is used in the presence of inflammation at the proposed injection site(s) or when excessive weakness or atrophy is present in the target muscle(s). </w:t>
      </w:r>
    </w:p>
    <w:p w14:paraId="601D9DBB" w14:textId="6B390013" w:rsidR="005C0C60" w:rsidRPr="00616A1D" w:rsidRDefault="005C0C60" w:rsidP="00CE1043">
      <w:pPr>
        <w:pStyle w:val="Default"/>
        <w:rPr>
          <w:b/>
          <w:sz w:val="18"/>
          <w:szCs w:val="18"/>
        </w:rPr>
      </w:pPr>
    </w:p>
    <w:p w14:paraId="04C4BD63" w14:textId="7D0A303F" w:rsidR="005C0C60" w:rsidRPr="00616A1D" w:rsidRDefault="003646E1" w:rsidP="00CE1043">
      <w:pPr>
        <w:pStyle w:val="Default"/>
        <w:rPr>
          <w:b/>
          <w:sz w:val="18"/>
          <w:szCs w:val="18"/>
        </w:rPr>
      </w:pPr>
      <w:r w:rsidRPr="00616A1D">
        <w:rPr>
          <w:b/>
          <w:sz w:val="18"/>
          <w:szCs w:val="18"/>
        </w:rPr>
        <w:t xml:space="preserve">Dry Eye in Patients Treated </w:t>
      </w:r>
      <w:r w:rsidR="00D050EB">
        <w:rPr>
          <w:b/>
          <w:sz w:val="18"/>
          <w:szCs w:val="18"/>
        </w:rPr>
        <w:t>W</w:t>
      </w:r>
      <w:r w:rsidRPr="00616A1D">
        <w:rPr>
          <w:b/>
          <w:sz w:val="18"/>
          <w:szCs w:val="18"/>
        </w:rPr>
        <w:t>ith BOTOX</w:t>
      </w:r>
      <w:r w:rsidRPr="00616A1D">
        <w:rPr>
          <w:sz w:val="18"/>
          <w:szCs w:val="18"/>
          <w:vertAlign w:val="superscript"/>
        </w:rPr>
        <w:t>®</w:t>
      </w:r>
      <w:r w:rsidRPr="00616A1D">
        <w:rPr>
          <w:b/>
          <w:sz w:val="18"/>
          <w:szCs w:val="18"/>
        </w:rPr>
        <w:t xml:space="preserve"> Cosmetic</w:t>
      </w:r>
    </w:p>
    <w:p w14:paraId="4ED1771D" w14:textId="5A307C6A" w:rsidR="003646E1" w:rsidRDefault="003646E1" w:rsidP="00CE1043">
      <w:pPr>
        <w:pStyle w:val="Default"/>
        <w:rPr>
          <w:sz w:val="18"/>
          <w:szCs w:val="18"/>
        </w:rPr>
      </w:pPr>
      <w:r>
        <w:rPr>
          <w:sz w:val="18"/>
          <w:szCs w:val="18"/>
        </w:rPr>
        <w:t>There have been reports of dry eye associated with B</w:t>
      </w:r>
      <w:r w:rsidR="00D050EB">
        <w:rPr>
          <w:sz w:val="18"/>
          <w:szCs w:val="18"/>
        </w:rPr>
        <w:t>OTOX</w:t>
      </w:r>
      <w:r w:rsidRPr="00616A1D">
        <w:rPr>
          <w:sz w:val="18"/>
          <w:szCs w:val="18"/>
          <w:vertAlign w:val="superscript"/>
        </w:rPr>
        <w:t>®</w:t>
      </w:r>
      <w:r>
        <w:rPr>
          <w:sz w:val="18"/>
          <w:szCs w:val="18"/>
        </w:rPr>
        <w:t xml:space="preserve"> Cosmetic injection in or near the orbicularis oculi muscle. If symptoms of dry eye (</w:t>
      </w:r>
      <w:proofErr w:type="spellStart"/>
      <w:r>
        <w:rPr>
          <w:sz w:val="18"/>
          <w:szCs w:val="18"/>
        </w:rPr>
        <w:t>eg</w:t>
      </w:r>
      <w:proofErr w:type="spellEnd"/>
      <w:r>
        <w:rPr>
          <w:sz w:val="18"/>
          <w:szCs w:val="18"/>
        </w:rPr>
        <w:t>, eye irritation, photophobia, or visual changes) persist, consider referring patients to an ophthalmologist.</w:t>
      </w:r>
    </w:p>
    <w:p w14:paraId="5583A121" w14:textId="77777777" w:rsidR="00CE1043" w:rsidRDefault="00CE1043" w:rsidP="00CE1043">
      <w:pPr>
        <w:pStyle w:val="Default"/>
        <w:rPr>
          <w:sz w:val="18"/>
          <w:szCs w:val="18"/>
        </w:rPr>
      </w:pPr>
    </w:p>
    <w:p w14:paraId="35C949A7" w14:textId="77777777" w:rsidR="00CE1043" w:rsidRDefault="00CE1043" w:rsidP="00660CD9">
      <w:pPr>
        <w:pStyle w:val="Default"/>
        <w:outlineLvl w:val="0"/>
        <w:rPr>
          <w:sz w:val="18"/>
          <w:szCs w:val="18"/>
        </w:rPr>
      </w:pPr>
      <w:r>
        <w:rPr>
          <w:b/>
          <w:bCs/>
          <w:sz w:val="18"/>
          <w:szCs w:val="18"/>
        </w:rPr>
        <w:t xml:space="preserve">Human Albumin and Transmission of Viral Diseases </w:t>
      </w:r>
    </w:p>
    <w:p w14:paraId="061B5D45" w14:textId="19416D8B" w:rsidR="00CE1043" w:rsidRDefault="00CE1043" w:rsidP="00CE1043">
      <w:pPr>
        <w:pStyle w:val="Default"/>
        <w:rPr>
          <w:sz w:val="18"/>
          <w:szCs w:val="18"/>
        </w:rPr>
      </w:pPr>
      <w:r>
        <w:rPr>
          <w:sz w:val="18"/>
          <w:szCs w:val="18"/>
        </w:rPr>
        <w:t xml:space="preserve">This product contains albumin, a derivative of human blood. Based on effective donor screening and product manufacturing processes, it carries </w:t>
      </w:r>
      <w:r w:rsidR="00C76A35">
        <w:rPr>
          <w:sz w:val="18"/>
          <w:szCs w:val="18"/>
        </w:rPr>
        <w:t>a</w:t>
      </w:r>
      <w:r>
        <w:rPr>
          <w:sz w:val="18"/>
          <w:szCs w:val="18"/>
        </w:rPr>
        <w:t xml:space="preserve"> remote risk for transmission of</w:t>
      </w:r>
      <w:r w:rsidR="00D64986">
        <w:rPr>
          <w:sz w:val="18"/>
          <w:szCs w:val="18"/>
        </w:rPr>
        <w:t xml:space="preserve"> </w:t>
      </w:r>
      <w:r>
        <w:rPr>
          <w:sz w:val="18"/>
          <w:szCs w:val="18"/>
        </w:rPr>
        <w:t>viral diseases</w:t>
      </w:r>
      <w:r w:rsidR="00D97222">
        <w:rPr>
          <w:sz w:val="18"/>
          <w:szCs w:val="18"/>
        </w:rPr>
        <w:t xml:space="preserve"> </w:t>
      </w:r>
      <w:r w:rsidR="00D97222" w:rsidRPr="00412A9D">
        <w:rPr>
          <w:sz w:val="18"/>
          <w:szCs w:val="18"/>
        </w:rPr>
        <w:t>and variant Creutzfeldt-Jakob disease (</w:t>
      </w:r>
      <w:proofErr w:type="spellStart"/>
      <w:r w:rsidR="00D97222" w:rsidRPr="00412A9D">
        <w:rPr>
          <w:sz w:val="18"/>
          <w:szCs w:val="18"/>
        </w:rPr>
        <w:t>vCJD</w:t>
      </w:r>
      <w:proofErr w:type="spellEnd"/>
      <w:r w:rsidR="00D97222" w:rsidRPr="00412A9D">
        <w:rPr>
          <w:sz w:val="18"/>
          <w:szCs w:val="18"/>
        </w:rPr>
        <w:t>). There is a</w:t>
      </w:r>
      <w:r w:rsidR="00D97222">
        <w:rPr>
          <w:sz w:val="18"/>
          <w:szCs w:val="18"/>
        </w:rPr>
        <w:t xml:space="preserve"> </w:t>
      </w:r>
      <w:r>
        <w:rPr>
          <w:sz w:val="18"/>
          <w:szCs w:val="18"/>
        </w:rPr>
        <w:t>theoretical risk for transmission of Creutzfeldt-Jakob disease (CJD</w:t>
      </w:r>
      <w:r w:rsidRPr="00D97222">
        <w:rPr>
          <w:sz w:val="18"/>
          <w:szCs w:val="18"/>
        </w:rPr>
        <w:t>)</w:t>
      </w:r>
      <w:r w:rsidR="00D97222" w:rsidRPr="00D97222">
        <w:rPr>
          <w:sz w:val="18"/>
          <w:szCs w:val="18"/>
        </w:rPr>
        <w:t>,</w:t>
      </w:r>
      <w:r w:rsidR="00D97222">
        <w:rPr>
          <w:sz w:val="18"/>
          <w:szCs w:val="18"/>
        </w:rPr>
        <w:t xml:space="preserve"> </w:t>
      </w:r>
      <w:r w:rsidR="00D329C3">
        <w:rPr>
          <w:sz w:val="18"/>
          <w:szCs w:val="18"/>
        </w:rPr>
        <w:t xml:space="preserve">which </w:t>
      </w:r>
      <w:r w:rsidR="00E366A8">
        <w:rPr>
          <w:sz w:val="18"/>
          <w:szCs w:val="18"/>
        </w:rPr>
        <w:t xml:space="preserve">would </w:t>
      </w:r>
      <w:r>
        <w:rPr>
          <w:sz w:val="18"/>
          <w:szCs w:val="18"/>
        </w:rPr>
        <w:t xml:space="preserve">also </w:t>
      </w:r>
      <w:r w:rsidR="00D97222">
        <w:rPr>
          <w:sz w:val="18"/>
          <w:szCs w:val="18"/>
        </w:rPr>
        <w:t xml:space="preserve">be </w:t>
      </w:r>
      <w:r>
        <w:rPr>
          <w:sz w:val="18"/>
          <w:szCs w:val="18"/>
        </w:rPr>
        <w:t>considered remote. No cases of transmission of viral diseases</w:t>
      </w:r>
      <w:r w:rsidR="00A219C5">
        <w:rPr>
          <w:sz w:val="18"/>
          <w:szCs w:val="18"/>
        </w:rPr>
        <w:t>, CJD</w:t>
      </w:r>
      <w:r w:rsidR="005A0899">
        <w:rPr>
          <w:sz w:val="18"/>
          <w:szCs w:val="18"/>
        </w:rPr>
        <w:t>,</w:t>
      </w:r>
      <w:r>
        <w:rPr>
          <w:sz w:val="18"/>
          <w:szCs w:val="18"/>
        </w:rPr>
        <w:t xml:space="preserve"> or </w:t>
      </w:r>
      <w:proofErr w:type="spellStart"/>
      <w:r w:rsidR="00A219C5">
        <w:rPr>
          <w:sz w:val="18"/>
          <w:szCs w:val="18"/>
        </w:rPr>
        <w:t>v</w:t>
      </w:r>
      <w:r>
        <w:rPr>
          <w:sz w:val="18"/>
          <w:szCs w:val="18"/>
        </w:rPr>
        <w:t>CJD</w:t>
      </w:r>
      <w:proofErr w:type="spellEnd"/>
      <w:r>
        <w:rPr>
          <w:sz w:val="18"/>
          <w:szCs w:val="18"/>
        </w:rPr>
        <w:t xml:space="preserve"> have ever been </w:t>
      </w:r>
      <w:r w:rsidR="00A219C5" w:rsidRPr="00412A9D">
        <w:rPr>
          <w:sz w:val="18"/>
          <w:szCs w:val="18"/>
        </w:rPr>
        <w:t>identified for licensed albumin or albumin contained in other licensed products</w:t>
      </w:r>
      <w:r w:rsidR="00B814E7">
        <w:rPr>
          <w:sz w:val="18"/>
          <w:szCs w:val="18"/>
        </w:rPr>
        <w:t>.</w:t>
      </w:r>
    </w:p>
    <w:p w14:paraId="62D5CC1F" w14:textId="77777777" w:rsidR="00CE1043" w:rsidRDefault="00CE1043" w:rsidP="00CE1043">
      <w:pPr>
        <w:pStyle w:val="Default"/>
        <w:rPr>
          <w:sz w:val="18"/>
          <w:szCs w:val="18"/>
        </w:rPr>
      </w:pPr>
    </w:p>
    <w:p w14:paraId="3F04B9F9" w14:textId="77777777" w:rsidR="00CE1043" w:rsidRDefault="00CE1043" w:rsidP="00660CD9">
      <w:pPr>
        <w:pStyle w:val="Default"/>
        <w:outlineLvl w:val="0"/>
        <w:rPr>
          <w:sz w:val="18"/>
          <w:szCs w:val="18"/>
        </w:rPr>
      </w:pPr>
      <w:r>
        <w:rPr>
          <w:b/>
          <w:bCs/>
          <w:sz w:val="18"/>
          <w:szCs w:val="18"/>
        </w:rPr>
        <w:t xml:space="preserve">ADVERSE REACTIONS </w:t>
      </w:r>
    </w:p>
    <w:p w14:paraId="335F50D6" w14:textId="589D7320" w:rsidR="006A0251" w:rsidRDefault="00CE1043" w:rsidP="00CE1043">
      <w:pPr>
        <w:pStyle w:val="Default"/>
        <w:rPr>
          <w:sz w:val="18"/>
          <w:szCs w:val="18"/>
        </w:rPr>
      </w:pPr>
      <w:r>
        <w:rPr>
          <w:sz w:val="18"/>
          <w:szCs w:val="18"/>
        </w:rPr>
        <w:t xml:space="preserve">The most frequently reported adverse </w:t>
      </w:r>
      <w:r w:rsidR="003A1EFC">
        <w:rPr>
          <w:sz w:val="18"/>
          <w:szCs w:val="18"/>
        </w:rPr>
        <w:t>reaction</w:t>
      </w:r>
      <w:r w:rsidR="00D050EB">
        <w:rPr>
          <w:sz w:val="18"/>
          <w:szCs w:val="18"/>
        </w:rPr>
        <w:t>s</w:t>
      </w:r>
      <w:r w:rsidR="003A1EFC">
        <w:rPr>
          <w:sz w:val="18"/>
          <w:szCs w:val="18"/>
        </w:rPr>
        <w:t xml:space="preserve"> </w:t>
      </w:r>
      <w:r>
        <w:rPr>
          <w:sz w:val="18"/>
          <w:szCs w:val="18"/>
        </w:rPr>
        <w:t>following injection of BOTOX</w:t>
      </w:r>
      <w:r w:rsidR="007B5B0A" w:rsidRPr="00CE1043">
        <w:rPr>
          <w:sz w:val="18"/>
          <w:szCs w:val="18"/>
          <w:vertAlign w:val="superscript"/>
        </w:rPr>
        <w:t>®</w:t>
      </w:r>
      <w:r w:rsidR="00A42FB1">
        <w:rPr>
          <w:sz w:val="18"/>
          <w:szCs w:val="18"/>
        </w:rPr>
        <w:t xml:space="preserve"> </w:t>
      </w:r>
      <w:r>
        <w:rPr>
          <w:sz w:val="18"/>
          <w:szCs w:val="18"/>
        </w:rPr>
        <w:t>Cosmetic for glabellar lines w</w:t>
      </w:r>
      <w:r w:rsidR="00D050EB">
        <w:rPr>
          <w:sz w:val="18"/>
          <w:szCs w:val="18"/>
        </w:rPr>
        <w:t>ere</w:t>
      </w:r>
      <w:r>
        <w:rPr>
          <w:sz w:val="18"/>
          <w:szCs w:val="18"/>
        </w:rPr>
        <w:t xml:space="preserve"> eyelid ptosis (3%)</w:t>
      </w:r>
      <w:r w:rsidR="003646E1">
        <w:rPr>
          <w:sz w:val="18"/>
          <w:szCs w:val="18"/>
        </w:rPr>
        <w:t>, facial pain (1%), facial paresis (1%), and muscular weakness (1%).</w:t>
      </w:r>
    </w:p>
    <w:p w14:paraId="6AACF13D" w14:textId="77777777" w:rsidR="006A0251" w:rsidRDefault="006A0251" w:rsidP="00CE1043">
      <w:pPr>
        <w:pStyle w:val="Default"/>
        <w:rPr>
          <w:sz w:val="18"/>
          <w:szCs w:val="18"/>
        </w:rPr>
      </w:pPr>
    </w:p>
    <w:p w14:paraId="07AFA6A7" w14:textId="2E85F7A7" w:rsidR="006A0251" w:rsidRDefault="00CE1043" w:rsidP="00CE1043">
      <w:pPr>
        <w:pStyle w:val="Default"/>
        <w:rPr>
          <w:sz w:val="18"/>
          <w:szCs w:val="18"/>
        </w:rPr>
      </w:pPr>
      <w:r>
        <w:rPr>
          <w:sz w:val="18"/>
          <w:szCs w:val="18"/>
        </w:rPr>
        <w:t xml:space="preserve">The most frequently reported adverse </w:t>
      </w:r>
      <w:r w:rsidR="003A1EFC">
        <w:rPr>
          <w:sz w:val="18"/>
          <w:szCs w:val="18"/>
        </w:rPr>
        <w:t>reaction</w:t>
      </w:r>
      <w:r w:rsidR="003A1EFC" w:rsidDel="003A1EFC">
        <w:rPr>
          <w:sz w:val="18"/>
          <w:szCs w:val="18"/>
        </w:rPr>
        <w:t xml:space="preserve"> </w:t>
      </w:r>
      <w:r>
        <w:rPr>
          <w:sz w:val="18"/>
          <w:szCs w:val="18"/>
        </w:rPr>
        <w:t>following injection of BOTOX</w:t>
      </w:r>
      <w:r w:rsidR="007B5B0A" w:rsidRPr="00CE1043">
        <w:rPr>
          <w:sz w:val="18"/>
          <w:szCs w:val="18"/>
          <w:vertAlign w:val="superscript"/>
        </w:rPr>
        <w:t>®</w:t>
      </w:r>
      <w:r w:rsidR="00A42FB1">
        <w:rPr>
          <w:sz w:val="18"/>
          <w:szCs w:val="18"/>
        </w:rPr>
        <w:t xml:space="preserve"> </w:t>
      </w:r>
      <w:r>
        <w:rPr>
          <w:sz w:val="18"/>
          <w:szCs w:val="18"/>
        </w:rPr>
        <w:t xml:space="preserve">Cosmetic for lateral canthal lines was eyelid edema (1%). </w:t>
      </w:r>
    </w:p>
    <w:p w14:paraId="789900F3" w14:textId="77777777" w:rsidR="006A0251" w:rsidRDefault="006A0251" w:rsidP="00CE1043">
      <w:pPr>
        <w:pStyle w:val="Default"/>
        <w:rPr>
          <w:sz w:val="18"/>
          <w:szCs w:val="18"/>
        </w:rPr>
      </w:pPr>
    </w:p>
    <w:p w14:paraId="20C65188" w14:textId="4C9E9391" w:rsidR="00CE1043" w:rsidRDefault="0087200D" w:rsidP="00CE1043">
      <w:pPr>
        <w:pStyle w:val="Default"/>
        <w:rPr>
          <w:sz w:val="18"/>
          <w:szCs w:val="18"/>
        </w:rPr>
      </w:pPr>
      <w:r w:rsidRPr="0087200D">
        <w:rPr>
          <w:sz w:val="18"/>
          <w:szCs w:val="18"/>
        </w:rPr>
        <w:t xml:space="preserve">The most frequently reported adverse </w:t>
      </w:r>
      <w:r w:rsidR="003A1EFC">
        <w:rPr>
          <w:sz w:val="18"/>
          <w:szCs w:val="18"/>
        </w:rPr>
        <w:t>reactions</w:t>
      </w:r>
      <w:r w:rsidR="003A1EFC" w:rsidRPr="0087200D" w:rsidDel="003A1EFC">
        <w:rPr>
          <w:sz w:val="18"/>
          <w:szCs w:val="18"/>
        </w:rPr>
        <w:t xml:space="preserve"> </w:t>
      </w:r>
      <w:r w:rsidRPr="0087200D">
        <w:rPr>
          <w:sz w:val="18"/>
          <w:szCs w:val="18"/>
        </w:rPr>
        <w:t>following injection of BOTOX</w:t>
      </w:r>
      <w:r w:rsidR="007B5B0A" w:rsidRPr="00CE1043">
        <w:rPr>
          <w:sz w:val="18"/>
          <w:szCs w:val="18"/>
          <w:vertAlign w:val="superscript"/>
        </w:rPr>
        <w:t>®</w:t>
      </w:r>
      <w:r w:rsidR="00A42FB1">
        <w:rPr>
          <w:sz w:val="18"/>
          <w:szCs w:val="18"/>
        </w:rPr>
        <w:t xml:space="preserve"> </w:t>
      </w:r>
      <w:r w:rsidRPr="0087200D">
        <w:rPr>
          <w:sz w:val="18"/>
          <w:szCs w:val="18"/>
        </w:rPr>
        <w:t>Cosmetic for forehead lines with glabellar lines were headache (9%)</w:t>
      </w:r>
      <w:r w:rsidR="007C532B">
        <w:rPr>
          <w:sz w:val="18"/>
          <w:szCs w:val="18"/>
        </w:rPr>
        <w:t>,</w:t>
      </w:r>
      <w:r w:rsidR="006A0251">
        <w:rPr>
          <w:sz w:val="18"/>
          <w:szCs w:val="18"/>
        </w:rPr>
        <w:t xml:space="preserve"> </w:t>
      </w:r>
      <w:r w:rsidRPr="0087200D">
        <w:rPr>
          <w:sz w:val="18"/>
          <w:szCs w:val="18"/>
        </w:rPr>
        <w:t>brow ptosis (2%)</w:t>
      </w:r>
      <w:r w:rsidR="00FB0F3B">
        <w:rPr>
          <w:sz w:val="18"/>
          <w:szCs w:val="18"/>
        </w:rPr>
        <w:t>,</w:t>
      </w:r>
      <w:r w:rsidR="007C532B">
        <w:rPr>
          <w:sz w:val="18"/>
          <w:szCs w:val="18"/>
        </w:rPr>
        <w:t xml:space="preserve"> and eyelid ptosis (2%)</w:t>
      </w:r>
      <w:r w:rsidR="006A0251">
        <w:rPr>
          <w:sz w:val="18"/>
          <w:szCs w:val="18"/>
        </w:rPr>
        <w:t>.</w:t>
      </w:r>
    </w:p>
    <w:p w14:paraId="21FBC739" w14:textId="77777777" w:rsidR="00290DFF" w:rsidRDefault="00290DFF" w:rsidP="00CE1043">
      <w:pPr>
        <w:pStyle w:val="Default"/>
        <w:rPr>
          <w:sz w:val="18"/>
          <w:szCs w:val="18"/>
        </w:rPr>
      </w:pPr>
    </w:p>
    <w:p w14:paraId="73328D91" w14:textId="6E1283CD" w:rsidR="00CE1043" w:rsidRDefault="00670C9B" w:rsidP="00CE1043">
      <w:pPr>
        <w:pStyle w:val="Default"/>
        <w:rPr>
          <w:b/>
          <w:bCs/>
          <w:sz w:val="18"/>
          <w:szCs w:val="18"/>
        </w:rPr>
      </w:pPr>
      <w:r w:rsidRPr="00670C9B">
        <w:rPr>
          <w:sz w:val="18"/>
          <w:szCs w:val="18"/>
        </w:rPr>
        <w:t>The safety profile of BOTOX</w:t>
      </w:r>
      <w:r w:rsidR="00FE2ECD" w:rsidRPr="0068136F">
        <w:rPr>
          <w:sz w:val="18"/>
          <w:szCs w:val="18"/>
          <w:vertAlign w:val="superscript"/>
        </w:rPr>
        <w:t>®</w:t>
      </w:r>
      <w:r w:rsidRPr="00670C9B">
        <w:rPr>
          <w:sz w:val="18"/>
          <w:szCs w:val="18"/>
        </w:rPr>
        <w:t xml:space="preserve"> Cosmetic treatment of platysma bands is consistent with the known safety profile of BOTOX</w:t>
      </w:r>
      <w:r w:rsidR="00FE2ECD" w:rsidRPr="0068136F">
        <w:rPr>
          <w:sz w:val="18"/>
          <w:szCs w:val="18"/>
          <w:vertAlign w:val="superscript"/>
        </w:rPr>
        <w:t>®</w:t>
      </w:r>
      <w:r w:rsidRPr="00670C9B">
        <w:rPr>
          <w:sz w:val="18"/>
          <w:szCs w:val="18"/>
        </w:rPr>
        <w:t xml:space="preserve"> Cosmetic for other indications. </w:t>
      </w:r>
    </w:p>
    <w:p w14:paraId="03A782D4" w14:textId="77777777" w:rsidR="00FB21CA" w:rsidRDefault="00FB21CA" w:rsidP="00660CD9">
      <w:pPr>
        <w:pStyle w:val="Default"/>
        <w:outlineLvl w:val="0"/>
        <w:rPr>
          <w:b/>
          <w:bCs/>
          <w:sz w:val="18"/>
          <w:szCs w:val="18"/>
        </w:rPr>
      </w:pPr>
    </w:p>
    <w:p w14:paraId="756DF898" w14:textId="1594AC6D" w:rsidR="00CE1043" w:rsidRDefault="00CE1043" w:rsidP="00660CD9">
      <w:pPr>
        <w:pStyle w:val="Default"/>
        <w:outlineLvl w:val="0"/>
        <w:rPr>
          <w:sz w:val="18"/>
          <w:szCs w:val="18"/>
        </w:rPr>
      </w:pPr>
      <w:r>
        <w:rPr>
          <w:b/>
          <w:bCs/>
          <w:sz w:val="18"/>
          <w:szCs w:val="18"/>
        </w:rPr>
        <w:t xml:space="preserve">DRUG INTERACTIONS </w:t>
      </w:r>
    </w:p>
    <w:p w14:paraId="16E6E86A" w14:textId="33514436" w:rsidR="00CE1043" w:rsidRDefault="00323277" w:rsidP="00CE1043">
      <w:pPr>
        <w:pStyle w:val="Default"/>
        <w:rPr>
          <w:sz w:val="18"/>
          <w:szCs w:val="18"/>
        </w:rPr>
      </w:pPr>
      <w:r>
        <w:rPr>
          <w:sz w:val="18"/>
          <w:szCs w:val="18"/>
        </w:rPr>
        <w:t>Coadministration</w:t>
      </w:r>
      <w:r w:rsidR="00CE1043">
        <w:rPr>
          <w:sz w:val="18"/>
          <w:szCs w:val="18"/>
        </w:rPr>
        <w:t xml:space="preserve"> of BOTOX</w:t>
      </w:r>
      <w:r w:rsidR="00C37322" w:rsidRPr="00CE1043">
        <w:rPr>
          <w:sz w:val="18"/>
          <w:szCs w:val="18"/>
          <w:vertAlign w:val="superscript"/>
        </w:rPr>
        <w:t>®</w:t>
      </w:r>
      <w:r w:rsidR="00CE1043">
        <w:rPr>
          <w:sz w:val="18"/>
          <w:szCs w:val="18"/>
        </w:rPr>
        <w:t xml:space="preserve"> Cosmetic and aminoglycosides or other agents interfering with neuromuscular transmission (</w:t>
      </w:r>
      <w:proofErr w:type="spellStart"/>
      <w:r w:rsidR="00CE1043">
        <w:rPr>
          <w:sz w:val="18"/>
          <w:szCs w:val="18"/>
        </w:rPr>
        <w:t>eg</w:t>
      </w:r>
      <w:proofErr w:type="spellEnd"/>
      <w:r w:rsidR="00CE1043">
        <w:rPr>
          <w:sz w:val="18"/>
          <w:szCs w:val="18"/>
        </w:rPr>
        <w:t>, curare-like compounds) should only be performed with caution as the effect of the toxin may be potentiated. Use of anticholinergic drugs after administration of BOTOX</w:t>
      </w:r>
      <w:r w:rsidR="00C37322" w:rsidRPr="00CE1043">
        <w:rPr>
          <w:sz w:val="18"/>
          <w:szCs w:val="18"/>
          <w:vertAlign w:val="superscript"/>
        </w:rPr>
        <w:t>®</w:t>
      </w:r>
      <w:r w:rsidR="00CE1043">
        <w:rPr>
          <w:sz w:val="18"/>
          <w:szCs w:val="18"/>
        </w:rPr>
        <w:t xml:space="preserve"> Cosmetic may potentiate systemic anticholinergic effects. </w:t>
      </w:r>
    </w:p>
    <w:p w14:paraId="336EF477" w14:textId="77777777" w:rsidR="00CE1043" w:rsidRDefault="00CE1043" w:rsidP="00CE1043">
      <w:pPr>
        <w:pStyle w:val="Default"/>
        <w:rPr>
          <w:sz w:val="18"/>
          <w:szCs w:val="18"/>
        </w:rPr>
      </w:pPr>
    </w:p>
    <w:p w14:paraId="03240353" w14:textId="69F3098F" w:rsidR="004D41A0" w:rsidRDefault="00CE1043" w:rsidP="00E44315">
      <w:pPr>
        <w:pStyle w:val="Default"/>
        <w:keepNext/>
        <w:keepLines/>
        <w:rPr>
          <w:sz w:val="18"/>
          <w:szCs w:val="18"/>
        </w:rPr>
      </w:pPr>
      <w:r>
        <w:rPr>
          <w:sz w:val="18"/>
          <w:szCs w:val="18"/>
        </w:rPr>
        <w:lastRenderedPageBreak/>
        <w:t xml:space="preserve">The effect of administering different botulinum neurotoxin products at the same time or within several months of each other is unknown. Excessive neuromuscular weakness may be exacerbated by </w:t>
      </w:r>
    </w:p>
    <w:p w14:paraId="6B4EF366" w14:textId="78612589" w:rsidR="002646C2" w:rsidRDefault="00CE1043" w:rsidP="00E44315">
      <w:pPr>
        <w:pStyle w:val="Default"/>
        <w:keepNext/>
        <w:keepLines/>
        <w:rPr>
          <w:sz w:val="18"/>
          <w:szCs w:val="18"/>
        </w:rPr>
      </w:pPr>
      <w:r>
        <w:rPr>
          <w:sz w:val="18"/>
          <w:szCs w:val="18"/>
        </w:rPr>
        <w:t xml:space="preserve">administration of another botulinum toxin prior to the resolution of the effects of a previously administered botulinum toxin. </w:t>
      </w:r>
    </w:p>
    <w:p w14:paraId="5C13618B" w14:textId="526ADC6A" w:rsidR="00F92572" w:rsidRPr="00F81DA7" w:rsidRDefault="00F92572" w:rsidP="00F81DA7">
      <w:pPr>
        <w:pStyle w:val="Default"/>
        <w:outlineLvl w:val="0"/>
        <w:rPr>
          <w:b/>
          <w:bCs/>
          <w:sz w:val="18"/>
          <w:szCs w:val="18"/>
        </w:rPr>
      </w:pPr>
    </w:p>
    <w:p w14:paraId="268AE017" w14:textId="77777777" w:rsidR="00DF37E7" w:rsidRDefault="00DF37E7" w:rsidP="00DF37E7">
      <w:pPr>
        <w:pStyle w:val="Default"/>
        <w:rPr>
          <w:sz w:val="18"/>
          <w:szCs w:val="18"/>
        </w:rPr>
      </w:pPr>
      <w:r>
        <w:rPr>
          <w:sz w:val="18"/>
          <w:szCs w:val="18"/>
        </w:rPr>
        <w:t xml:space="preserve">Excessive weakness may also be exaggerated by administration of a muscle relaxant before or after </w:t>
      </w:r>
    </w:p>
    <w:p w14:paraId="18E66E5B" w14:textId="5BD6F375" w:rsidR="00CE1043" w:rsidRDefault="00CE1043" w:rsidP="00CE1043">
      <w:pPr>
        <w:pStyle w:val="Default"/>
        <w:rPr>
          <w:sz w:val="18"/>
          <w:szCs w:val="18"/>
        </w:rPr>
      </w:pPr>
      <w:r>
        <w:rPr>
          <w:sz w:val="18"/>
          <w:szCs w:val="18"/>
        </w:rPr>
        <w:t>administration of BOTOX</w:t>
      </w:r>
      <w:r w:rsidR="00C37322" w:rsidRPr="00CE1043">
        <w:rPr>
          <w:sz w:val="18"/>
          <w:szCs w:val="18"/>
          <w:vertAlign w:val="superscript"/>
        </w:rPr>
        <w:t>®</w:t>
      </w:r>
      <w:r>
        <w:rPr>
          <w:sz w:val="18"/>
          <w:szCs w:val="18"/>
        </w:rPr>
        <w:t xml:space="preserve"> Cosmetic. </w:t>
      </w:r>
    </w:p>
    <w:p w14:paraId="5B245021" w14:textId="77777777" w:rsidR="00CE1043" w:rsidRPr="00CE1043" w:rsidRDefault="00CE1043" w:rsidP="00CE1043">
      <w:pPr>
        <w:pStyle w:val="Default"/>
        <w:rPr>
          <w:b/>
          <w:bCs/>
          <w:sz w:val="18"/>
          <w:szCs w:val="18"/>
        </w:rPr>
      </w:pPr>
    </w:p>
    <w:p w14:paraId="2640A432" w14:textId="6046BEFF" w:rsidR="00CE1043" w:rsidRPr="00252F2F" w:rsidRDefault="00CE1043" w:rsidP="00F81DA7">
      <w:pPr>
        <w:pStyle w:val="Default"/>
        <w:outlineLvl w:val="0"/>
      </w:pPr>
      <w:r w:rsidRPr="00CE1043">
        <w:rPr>
          <w:b/>
          <w:bCs/>
          <w:sz w:val="18"/>
          <w:szCs w:val="18"/>
        </w:rPr>
        <w:t xml:space="preserve">USE IN SPECIFIC POPULATIONS </w:t>
      </w:r>
    </w:p>
    <w:p w14:paraId="18E7CC03" w14:textId="7614108C" w:rsidR="00FD1222" w:rsidRPr="00252F2F" w:rsidRDefault="00FD1222" w:rsidP="00FD1222">
      <w:pPr>
        <w:autoSpaceDE w:val="0"/>
        <w:autoSpaceDN w:val="0"/>
        <w:rPr>
          <w:rFonts w:ascii="Helvetica" w:hAnsi="Helvetica"/>
          <w:sz w:val="18"/>
          <w:szCs w:val="18"/>
        </w:rPr>
      </w:pPr>
      <w:r w:rsidRPr="00252F2F">
        <w:rPr>
          <w:rFonts w:ascii="Helvetica" w:hAnsi="Helvetica"/>
          <w:sz w:val="18"/>
          <w:szCs w:val="18"/>
        </w:rPr>
        <w:t xml:space="preserve">There are no studies or adequate data from </w:t>
      </w:r>
      <w:proofErr w:type="spellStart"/>
      <w:r w:rsidRPr="00252F2F">
        <w:rPr>
          <w:rFonts w:ascii="Helvetica" w:hAnsi="Helvetica"/>
          <w:sz w:val="18"/>
          <w:szCs w:val="18"/>
        </w:rPr>
        <w:t>postmarketing</w:t>
      </w:r>
      <w:proofErr w:type="spellEnd"/>
      <w:r w:rsidRPr="00252F2F">
        <w:rPr>
          <w:rFonts w:ascii="Helvetica" w:hAnsi="Helvetica"/>
          <w:sz w:val="18"/>
          <w:szCs w:val="18"/>
        </w:rPr>
        <w:t xml:space="preserve"> surveillance on the developmental risk associated with use of BOTOX</w:t>
      </w:r>
      <w:r w:rsidR="00C37322" w:rsidRPr="00616A1D">
        <w:rPr>
          <w:rFonts w:ascii="Helvetica" w:hAnsi="Helvetica" w:cs="Helvetica"/>
          <w:sz w:val="18"/>
          <w:szCs w:val="18"/>
          <w:vertAlign w:val="superscript"/>
        </w:rPr>
        <w:t>®</w:t>
      </w:r>
      <w:r w:rsidRPr="00252F2F">
        <w:rPr>
          <w:rFonts w:ascii="Helvetica" w:hAnsi="Helvetica"/>
          <w:sz w:val="18"/>
          <w:szCs w:val="18"/>
        </w:rPr>
        <w:t xml:space="preserve"> Cosmetic in pregnant women. There are no data on the presence of BOTOX</w:t>
      </w:r>
      <w:r w:rsidR="00C37322" w:rsidRPr="00616A1D">
        <w:rPr>
          <w:rFonts w:ascii="Helvetica" w:hAnsi="Helvetica" w:cs="Helvetica"/>
          <w:sz w:val="18"/>
          <w:szCs w:val="18"/>
          <w:vertAlign w:val="superscript"/>
        </w:rPr>
        <w:t>®</w:t>
      </w:r>
      <w:r w:rsidRPr="00252F2F">
        <w:rPr>
          <w:rFonts w:ascii="Helvetica" w:hAnsi="Helvetica"/>
          <w:sz w:val="18"/>
          <w:szCs w:val="18"/>
        </w:rPr>
        <w:t xml:space="preserve"> Cosmetic in human or animal milk, the effects on the breastfed child, or the effects on milk production.  </w:t>
      </w:r>
    </w:p>
    <w:p w14:paraId="0E91E0C9" w14:textId="77777777" w:rsidR="007C2DCD" w:rsidRPr="007C2DCD" w:rsidRDefault="007C2DCD" w:rsidP="00F81DA7">
      <w:pPr>
        <w:widowControl w:val="0"/>
        <w:autoSpaceDE w:val="0"/>
        <w:autoSpaceDN w:val="0"/>
        <w:adjustRightInd w:val="0"/>
        <w:rPr>
          <w:rFonts w:cs="Times New Roman"/>
          <w:b/>
          <w:color w:val="333333"/>
          <w:sz w:val="18"/>
          <w:szCs w:val="18"/>
        </w:rPr>
      </w:pPr>
    </w:p>
    <w:p w14:paraId="67F8E1B2" w14:textId="3FE0A53B" w:rsidR="007358F3" w:rsidRDefault="007358F3" w:rsidP="007358F3">
      <w:pPr>
        <w:pStyle w:val="p1"/>
        <w:rPr>
          <w:b/>
          <w:bCs/>
        </w:rPr>
      </w:pPr>
      <w:r>
        <w:rPr>
          <w:b/>
          <w:bCs/>
        </w:rPr>
        <w:t>[Insert appropriate PI statement]</w:t>
      </w:r>
    </w:p>
    <w:p w14:paraId="282F9563" w14:textId="4482BF58" w:rsidR="00FB0F3B" w:rsidRDefault="00FB0F3B" w:rsidP="007358F3">
      <w:pPr>
        <w:pStyle w:val="p1"/>
        <w:rPr>
          <w:b/>
          <w:bCs/>
        </w:rPr>
      </w:pPr>
    </w:p>
    <w:p w14:paraId="52676F15" w14:textId="6F8A6658" w:rsidR="00C85B6B" w:rsidRPr="00224A59" w:rsidRDefault="00FB0F3B" w:rsidP="007358F3">
      <w:pPr>
        <w:pStyle w:val="p1"/>
        <w:rPr>
          <w:b/>
          <w:bCs/>
          <w:color w:val="FF0000"/>
        </w:rPr>
      </w:pPr>
      <w:r w:rsidRPr="00224A59">
        <w:rPr>
          <w:b/>
          <w:bCs/>
          <w:color w:val="FF0000"/>
        </w:rPr>
        <w:t>[FOR PRINT MATERIALS]</w:t>
      </w:r>
    </w:p>
    <w:p w14:paraId="51F767B1" w14:textId="777F590C" w:rsidR="007358F3" w:rsidRDefault="007358F3" w:rsidP="007358F3">
      <w:pPr>
        <w:pStyle w:val="p2"/>
      </w:pPr>
      <w:r>
        <w:rPr>
          <w:b/>
          <w:bCs/>
        </w:rPr>
        <w:t>For more information on BOTOX</w:t>
      </w:r>
      <w:r w:rsidRPr="00616A1D">
        <w:rPr>
          <w:bCs/>
          <w:vertAlign w:val="superscript"/>
        </w:rPr>
        <w:t>®</w:t>
      </w:r>
      <w:r>
        <w:rPr>
          <w:b/>
          <w:bCs/>
        </w:rPr>
        <w:t xml:space="preserve"> Cosmetic, please see accompanying full Prescribing</w:t>
      </w:r>
    </w:p>
    <w:p w14:paraId="1B51DF13" w14:textId="13D5A823" w:rsidR="007358F3" w:rsidRDefault="007358F3" w:rsidP="007358F3">
      <w:pPr>
        <w:pStyle w:val="p2"/>
      </w:pPr>
      <w:r>
        <w:rPr>
          <w:b/>
          <w:bCs/>
        </w:rPr>
        <w:t>Information</w:t>
      </w:r>
      <w:r w:rsidR="00685F1D">
        <w:rPr>
          <w:b/>
          <w:bCs/>
        </w:rPr>
        <w:t>,</w:t>
      </w:r>
      <w:r>
        <w:rPr>
          <w:b/>
          <w:bCs/>
        </w:rPr>
        <w:t xml:space="preserve"> including Boxed Warning and Medication Guide. </w:t>
      </w:r>
      <w:r>
        <w:rPr>
          <w:rStyle w:val="s1"/>
          <w:b/>
          <w:bCs/>
        </w:rPr>
        <w:t>(</w:t>
      </w:r>
      <w:proofErr w:type="gramStart"/>
      <w:r>
        <w:rPr>
          <w:rStyle w:val="s1"/>
          <w:b/>
          <w:bCs/>
        </w:rPr>
        <w:t>or</w:t>
      </w:r>
      <w:proofErr w:type="gramEnd"/>
      <w:r>
        <w:rPr>
          <w:rStyle w:val="s1"/>
          <w:b/>
          <w:bCs/>
        </w:rPr>
        <w:t xml:space="preserve"> other appropriate</w:t>
      </w:r>
    </w:p>
    <w:p w14:paraId="2EE7935A" w14:textId="77777777" w:rsidR="007358F3" w:rsidRDefault="007358F3" w:rsidP="007358F3">
      <w:pPr>
        <w:pStyle w:val="p1"/>
      </w:pPr>
      <w:r>
        <w:rPr>
          <w:b/>
          <w:bCs/>
        </w:rPr>
        <w:t>statement)</w:t>
      </w:r>
    </w:p>
    <w:p w14:paraId="10766B3F" w14:textId="2B85297E" w:rsidR="007358F3" w:rsidRDefault="007358F3" w:rsidP="007358F3">
      <w:pPr>
        <w:pStyle w:val="p2"/>
        <w:rPr>
          <w:b/>
          <w:bCs/>
        </w:rPr>
      </w:pPr>
    </w:p>
    <w:p w14:paraId="2E95936D" w14:textId="293B7CBA" w:rsidR="00FB0F3B" w:rsidRPr="00224A59" w:rsidRDefault="00FB0F3B" w:rsidP="007358F3">
      <w:pPr>
        <w:pStyle w:val="p2"/>
        <w:rPr>
          <w:b/>
          <w:bCs/>
          <w:color w:val="FF0000"/>
        </w:rPr>
      </w:pPr>
      <w:r w:rsidRPr="00224A59">
        <w:rPr>
          <w:b/>
          <w:bCs/>
          <w:color w:val="FF0000"/>
        </w:rPr>
        <w:t xml:space="preserve">[FOR DIGITAL MATERIALS; hyperlink </w:t>
      </w:r>
      <w:r>
        <w:rPr>
          <w:b/>
          <w:bCs/>
          <w:color w:val="FF0000"/>
        </w:rPr>
        <w:t>“</w:t>
      </w:r>
      <w:r w:rsidRPr="00224A59">
        <w:rPr>
          <w:b/>
          <w:bCs/>
          <w:color w:val="FF0000"/>
        </w:rPr>
        <w:t>Prescribing Information</w:t>
      </w:r>
      <w:r>
        <w:rPr>
          <w:b/>
          <w:bCs/>
          <w:color w:val="FF0000"/>
        </w:rPr>
        <w:t>”</w:t>
      </w:r>
      <w:r w:rsidRPr="00224A59">
        <w:rPr>
          <w:b/>
          <w:bCs/>
          <w:color w:val="FF0000"/>
        </w:rPr>
        <w:t xml:space="preserve"> and </w:t>
      </w:r>
      <w:r>
        <w:rPr>
          <w:b/>
          <w:bCs/>
          <w:color w:val="FF0000"/>
        </w:rPr>
        <w:t>“</w:t>
      </w:r>
      <w:r w:rsidRPr="00224A59">
        <w:rPr>
          <w:b/>
          <w:bCs/>
          <w:color w:val="FF0000"/>
        </w:rPr>
        <w:t>Medication Guide</w:t>
      </w:r>
      <w:r>
        <w:rPr>
          <w:b/>
          <w:bCs/>
          <w:color w:val="FF0000"/>
        </w:rPr>
        <w:t>”</w:t>
      </w:r>
      <w:r w:rsidRPr="00224A59">
        <w:rPr>
          <w:b/>
          <w:bCs/>
          <w:color w:val="FF0000"/>
        </w:rPr>
        <w:t>]</w:t>
      </w:r>
    </w:p>
    <w:p w14:paraId="050CA70F" w14:textId="622F43A2" w:rsidR="007358F3" w:rsidRDefault="007358F3" w:rsidP="007358F3">
      <w:pPr>
        <w:pStyle w:val="p2"/>
      </w:pPr>
      <w:r>
        <w:rPr>
          <w:b/>
          <w:bCs/>
        </w:rPr>
        <w:t>Please see BOTOX</w:t>
      </w:r>
      <w:r w:rsidRPr="00616A1D">
        <w:rPr>
          <w:bCs/>
          <w:vertAlign w:val="superscript"/>
        </w:rPr>
        <w:t>®</w:t>
      </w:r>
      <w:r>
        <w:rPr>
          <w:b/>
          <w:bCs/>
        </w:rPr>
        <w:t xml:space="preserve"> Cosmetic </w:t>
      </w:r>
      <w:r w:rsidR="00D050EB">
        <w:rPr>
          <w:b/>
          <w:bCs/>
        </w:rPr>
        <w:t>f</w:t>
      </w:r>
      <w:r>
        <w:rPr>
          <w:b/>
          <w:bCs/>
        </w:rPr>
        <w:t xml:space="preserve">ull </w:t>
      </w:r>
      <w:r w:rsidRPr="009F6BEB">
        <w:rPr>
          <w:b/>
          <w:bCs/>
          <w:u w:val="single"/>
        </w:rPr>
        <w:t>Prescribing Information</w:t>
      </w:r>
      <w:r w:rsidR="00FE2ECD">
        <w:rPr>
          <w:b/>
          <w:bCs/>
        </w:rPr>
        <w:t>,</w:t>
      </w:r>
      <w:r>
        <w:rPr>
          <w:b/>
          <w:bCs/>
        </w:rPr>
        <w:t xml:space="preserve"> including Boxed Warning and</w:t>
      </w:r>
    </w:p>
    <w:p w14:paraId="5171A93D" w14:textId="77777777" w:rsidR="007358F3" w:rsidRDefault="007358F3" w:rsidP="007358F3">
      <w:pPr>
        <w:pStyle w:val="p2"/>
      </w:pPr>
      <w:r w:rsidRPr="009F6BEB">
        <w:rPr>
          <w:b/>
          <w:bCs/>
          <w:u w:val="single"/>
        </w:rPr>
        <w:t>Medication Guide</w:t>
      </w:r>
      <w:r>
        <w:rPr>
          <w:b/>
          <w:bCs/>
        </w:rPr>
        <w:t>.</w:t>
      </w:r>
    </w:p>
    <w:p w14:paraId="0CA4D08D" w14:textId="77777777" w:rsidR="007358F3" w:rsidRDefault="007358F3" w:rsidP="00F81DA7">
      <w:pPr>
        <w:widowControl w:val="0"/>
        <w:autoSpaceDE w:val="0"/>
        <w:autoSpaceDN w:val="0"/>
        <w:adjustRightInd w:val="0"/>
        <w:rPr>
          <w:rFonts w:ascii="Helvetica" w:hAnsi="Helvetica" w:cs="Times New Roman"/>
          <w:b/>
          <w:color w:val="333333"/>
          <w:sz w:val="18"/>
          <w:szCs w:val="18"/>
        </w:rPr>
      </w:pPr>
    </w:p>
    <w:p w14:paraId="74D4AEBB" w14:textId="77777777" w:rsidR="00322C93" w:rsidRDefault="00322C93" w:rsidP="00660CD9">
      <w:pPr>
        <w:pStyle w:val="Default"/>
        <w:outlineLvl w:val="0"/>
        <w:rPr>
          <w:sz w:val="18"/>
          <w:szCs w:val="18"/>
        </w:rPr>
      </w:pPr>
    </w:p>
    <w:p w14:paraId="4F6CBD61" w14:textId="12E4119F" w:rsidR="00442576" w:rsidRPr="00CE1043" w:rsidRDefault="008C1AAB" w:rsidP="00D40115">
      <w:pPr>
        <w:pStyle w:val="Default"/>
        <w:outlineLvl w:val="0"/>
        <w:rPr>
          <w:sz w:val="18"/>
          <w:szCs w:val="18"/>
        </w:rPr>
      </w:pPr>
      <w:r>
        <w:rPr>
          <w:sz w:val="18"/>
          <w:szCs w:val="18"/>
        </w:rPr>
        <w:t xml:space="preserve">US-FA-01754 </w:t>
      </w:r>
      <w:r w:rsidR="00673F95">
        <w:rPr>
          <w:sz w:val="18"/>
          <w:szCs w:val="18"/>
        </w:rPr>
        <w:t>10</w:t>
      </w:r>
      <w:r w:rsidR="005435DA">
        <w:rPr>
          <w:sz w:val="18"/>
          <w:szCs w:val="18"/>
        </w:rPr>
        <w:t>/24</w:t>
      </w:r>
    </w:p>
    <w:sectPr w:rsidR="00442576" w:rsidRPr="00CE1043" w:rsidSect="0044257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45C00" w14:textId="77777777" w:rsidR="00991ED4" w:rsidRDefault="00991ED4" w:rsidP="0054135C">
      <w:r>
        <w:separator/>
      </w:r>
    </w:p>
  </w:endnote>
  <w:endnote w:type="continuationSeparator" w:id="0">
    <w:p w14:paraId="7E4072D6" w14:textId="77777777" w:rsidR="00991ED4" w:rsidRDefault="00991ED4" w:rsidP="0054135C">
      <w:r>
        <w:continuationSeparator/>
      </w:r>
    </w:p>
  </w:endnote>
  <w:endnote w:type="continuationNotice" w:id="1">
    <w:p w14:paraId="6DA3270A" w14:textId="77777777" w:rsidR="00991ED4" w:rsidRDefault="00991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BFE38" w14:textId="77777777" w:rsidR="0054135C" w:rsidRDefault="00541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48107" w14:textId="77777777" w:rsidR="0054135C" w:rsidRDefault="005413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548FF" w14:textId="77777777" w:rsidR="0054135C" w:rsidRDefault="00541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2BE84" w14:textId="77777777" w:rsidR="00991ED4" w:rsidRDefault="00991ED4" w:rsidP="0054135C">
      <w:r>
        <w:separator/>
      </w:r>
    </w:p>
  </w:footnote>
  <w:footnote w:type="continuationSeparator" w:id="0">
    <w:p w14:paraId="48AF1E63" w14:textId="77777777" w:rsidR="00991ED4" w:rsidRDefault="00991ED4" w:rsidP="0054135C">
      <w:r>
        <w:continuationSeparator/>
      </w:r>
    </w:p>
  </w:footnote>
  <w:footnote w:type="continuationNotice" w:id="1">
    <w:p w14:paraId="4D48EC77" w14:textId="77777777" w:rsidR="00991ED4" w:rsidRDefault="00991E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56270" w14:textId="77777777" w:rsidR="0054135C" w:rsidRDefault="00541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7409B" w14:textId="1D91E6BF" w:rsidR="0054135C" w:rsidRDefault="005413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52356" w14:textId="77777777" w:rsidR="0054135C" w:rsidRDefault="00541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A3A99"/>
    <w:multiLevelType w:val="hybridMultilevel"/>
    <w:tmpl w:val="68A62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282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043"/>
    <w:rsid w:val="000410B8"/>
    <w:rsid w:val="00051232"/>
    <w:rsid w:val="00057412"/>
    <w:rsid w:val="00060967"/>
    <w:rsid w:val="00060D1B"/>
    <w:rsid w:val="00070573"/>
    <w:rsid w:val="0008063D"/>
    <w:rsid w:val="00086CEC"/>
    <w:rsid w:val="000B0AA6"/>
    <w:rsid w:val="000D47F4"/>
    <w:rsid w:val="000E2DE0"/>
    <w:rsid w:val="000F4FCC"/>
    <w:rsid w:val="001165A9"/>
    <w:rsid w:val="00141EA9"/>
    <w:rsid w:val="00145D1F"/>
    <w:rsid w:val="00154729"/>
    <w:rsid w:val="001838D3"/>
    <w:rsid w:val="00193C16"/>
    <w:rsid w:val="001A6E82"/>
    <w:rsid w:val="00224A59"/>
    <w:rsid w:val="00241F9C"/>
    <w:rsid w:val="00244507"/>
    <w:rsid w:val="00244CF3"/>
    <w:rsid w:val="00252F2F"/>
    <w:rsid w:val="00253DB4"/>
    <w:rsid w:val="002646C2"/>
    <w:rsid w:val="002777DF"/>
    <w:rsid w:val="00290DFF"/>
    <w:rsid w:val="002A1612"/>
    <w:rsid w:val="002B0ADB"/>
    <w:rsid w:val="00300E84"/>
    <w:rsid w:val="00302AC9"/>
    <w:rsid w:val="00322C93"/>
    <w:rsid w:val="00323277"/>
    <w:rsid w:val="00325E91"/>
    <w:rsid w:val="003434CC"/>
    <w:rsid w:val="003646E1"/>
    <w:rsid w:val="003A1EFC"/>
    <w:rsid w:val="003C059E"/>
    <w:rsid w:val="003D170D"/>
    <w:rsid w:val="00412A9D"/>
    <w:rsid w:val="004132B6"/>
    <w:rsid w:val="00416037"/>
    <w:rsid w:val="004166B5"/>
    <w:rsid w:val="004247B0"/>
    <w:rsid w:val="00442576"/>
    <w:rsid w:val="004515F5"/>
    <w:rsid w:val="004B5E6A"/>
    <w:rsid w:val="004D271F"/>
    <w:rsid w:val="004D41A0"/>
    <w:rsid w:val="004D432C"/>
    <w:rsid w:val="004D6BAD"/>
    <w:rsid w:val="004E46A8"/>
    <w:rsid w:val="00511495"/>
    <w:rsid w:val="00514A97"/>
    <w:rsid w:val="0054135C"/>
    <w:rsid w:val="005435DA"/>
    <w:rsid w:val="00565273"/>
    <w:rsid w:val="0057135A"/>
    <w:rsid w:val="00574D0D"/>
    <w:rsid w:val="005778EB"/>
    <w:rsid w:val="005A0899"/>
    <w:rsid w:val="005B0129"/>
    <w:rsid w:val="005B3344"/>
    <w:rsid w:val="005B7902"/>
    <w:rsid w:val="005C0C60"/>
    <w:rsid w:val="005E65EA"/>
    <w:rsid w:val="005F62D5"/>
    <w:rsid w:val="0061537E"/>
    <w:rsid w:val="00616A1D"/>
    <w:rsid w:val="00642C8F"/>
    <w:rsid w:val="006448A3"/>
    <w:rsid w:val="0065061C"/>
    <w:rsid w:val="006554E5"/>
    <w:rsid w:val="00660CD9"/>
    <w:rsid w:val="00670C9B"/>
    <w:rsid w:val="00673F95"/>
    <w:rsid w:val="0068136F"/>
    <w:rsid w:val="00685F1D"/>
    <w:rsid w:val="00691206"/>
    <w:rsid w:val="00694D80"/>
    <w:rsid w:val="006A0251"/>
    <w:rsid w:val="006C190E"/>
    <w:rsid w:val="006D7259"/>
    <w:rsid w:val="006E3D59"/>
    <w:rsid w:val="006F1679"/>
    <w:rsid w:val="006F52C1"/>
    <w:rsid w:val="0072587C"/>
    <w:rsid w:val="007358F3"/>
    <w:rsid w:val="00776E58"/>
    <w:rsid w:val="00787731"/>
    <w:rsid w:val="0079445A"/>
    <w:rsid w:val="007A376D"/>
    <w:rsid w:val="007B5B0A"/>
    <w:rsid w:val="007C2168"/>
    <w:rsid w:val="007C2DCD"/>
    <w:rsid w:val="007C4E47"/>
    <w:rsid w:val="007C532B"/>
    <w:rsid w:val="007E2ACF"/>
    <w:rsid w:val="007F7BDC"/>
    <w:rsid w:val="007F7E0D"/>
    <w:rsid w:val="008154F4"/>
    <w:rsid w:val="00822B75"/>
    <w:rsid w:val="00835F1D"/>
    <w:rsid w:val="00850CF8"/>
    <w:rsid w:val="00860FF2"/>
    <w:rsid w:val="008626EA"/>
    <w:rsid w:val="0087200D"/>
    <w:rsid w:val="00876AC8"/>
    <w:rsid w:val="00880BAC"/>
    <w:rsid w:val="008A4EA8"/>
    <w:rsid w:val="008C1AAB"/>
    <w:rsid w:val="008E471A"/>
    <w:rsid w:val="009039F8"/>
    <w:rsid w:val="00931235"/>
    <w:rsid w:val="009371F8"/>
    <w:rsid w:val="009409FF"/>
    <w:rsid w:val="009475AF"/>
    <w:rsid w:val="009576FE"/>
    <w:rsid w:val="00982A2A"/>
    <w:rsid w:val="0098605B"/>
    <w:rsid w:val="00991ED4"/>
    <w:rsid w:val="009973BF"/>
    <w:rsid w:val="009A2FBE"/>
    <w:rsid w:val="009B7281"/>
    <w:rsid w:val="009F0400"/>
    <w:rsid w:val="009F6BEB"/>
    <w:rsid w:val="009F6EEF"/>
    <w:rsid w:val="00A17861"/>
    <w:rsid w:val="00A219C5"/>
    <w:rsid w:val="00A33B0D"/>
    <w:rsid w:val="00A42FB1"/>
    <w:rsid w:val="00A65774"/>
    <w:rsid w:val="00AB6F1D"/>
    <w:rsid w:val="00B01645"/>
    <w:rsid w:val="00B307B3"/>
    <w:rsid w:val="00B43155"/>
    <w:rsid w:val="00B43CD1"/>
    <w:rsid w:val="00B5633D"/>
    <w:rsid w:val="00B814E7"/>
    <w:rsid w:val="00B87FDE"/>
    <w:rsid w:val="00BA7D08"/>
    <w:rsid w:val="00BC5F08"/>
    <w:rsid w:val="00BC65F3"/>
    <w:rsid w:val="00BD4148"/>
    <w:rsid w:val="00C0023E"/>
    <w:rsid w:val="00C023A4"/>
    <w:rsid w:val="00C07550"/>
    <w:rsid w:val="00C11F22"/>
    <w:rsid w:val="00C3571E"/>
    <w:rsid w:val="00C37322"/>
    <w:rsid w:val="00C50EFA"/>
    <w:rsid w:val="00C6112C"/>
    <w:rsid w:val="00C76A35"/>
    <w:rsid w:val="00C85B6B"/>
    <w:rsid w:val="00CB38FC"/>
    <w:rsid w:val="00CC321C"/>
    <w:rsid w:val="00CE1043"/>
    <w:rsid w:val="00D050EB"/>
    <w:rsid w:val="00D21641"/>
    <w:rsid w:val="00D329C3"/>
    <w:rsid w:val="00D40115"/>
    <w:rsid w:val="00D64986"/>
    <w:rsid w:val="00D92793"/>
    <w:rsid w:val="00D97222"/>
    <w:rsid w:val="00DA1A08"/>
    <w:rsid w:val="00DE4322"/>
    <w:rsid w:val="00DF37E7"/>
    <w:rsid w:val="00E1780F"/>
    <w:rsid w:val="00E366A8"/>
    <w:rsid w:val="00E422C7"/>
    <w:rsid w:val="00E44315"/>
    <w:rsid w:val="00E61CD5"/>
    <w:rsid w:val="00E7064C"/>
    <w:rsid w:val="00E77283"/>
    <w:rsid w:val="00E77693"/>
    <w:rsid w:val="00E8542B"/>
    <w:rsid w:val="00ED31DC"/>
    <w:rsid w:val="00EE0EF4"/>
    <w:rsid w:val="00EE155F"/>
    <w:rsid w:val="00F32A56"/>
    <w:rsid w:val="00F62D83"/>
    <w:rsid w:val="00F704AC"/>
    <w:rsid w:val="00F748DF"/>
    <w:rsid w:val="00F81DA7"/>
    <w:rsid w:val="00F92572"/>
    <w:rsid w:val="00F92B75"/>
    <w:rsid w:val="00FA15D1"/>
    <w:rsid w:val="00FA60DC"/>
    <w:rsid w:val="00FB0F3B"/>
    <w:rsid w:val="00FB21CA"/>
    <w:rsid w:val="00FB77D6"/>
    <w:rsid w:val="00FD1222"/>
    <w:rsid w:val="00FE2ECD"/>
    <w:rsid w:val="00FE6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2DBAB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1043"/>
    <w:pPr>
      <w:widowControl w:val="0"/>
      <w:autoSpaceDE w:val="0"/>
      <w:autoSpaceDN w:val="0"/>
      <w:adjustRightInd w:val="0"/>
    </w:pPr>
    <w:rPr>
      <w:rFonts w:ascii="Helvetica" w:hAnsi="Helvetica" w:cs="Helvetica"/>
      <w:color w:val="000000"/>
    </w:rPr>
  </w:style>
  <w:style w:type="paragraph" w:styleId="BalloonText">
    <w:name w:val="Balloon Text"/>
    <w:basedOn w:val="Normal"/>
    <w:link w:val="BalloonTextChar"/>
    <w:uiPriority w:val="99"/>
    <w:semiHidden/>
    <w:unhideWhenUsed/>
    <w:rsid w:val="008720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200D"/>
    <w:rPr>
      <w:rFonts w:ascii="Lucida Grande" w:hAnsi="Lucida Grande" w:cs="Lucida Grande"/>
      <w:sz w:val="18"/>
      <w:szCs w:val="18"/>
    </w:rPr>
  </w:style>
  <w:style w:type="character" w:styleId="CommentReference">
    <w:name w:val="annotation reference"/>
    <w:basedOn w:val="DefaultParagraphFont"/>
    <w:uiPriority w:val="99"/>
    <w:semiHidden/>
    <w:unhideWhenUsed/>
    <w:rsid w:val="00DE4322"/>
    <w:rPr>
      <w:sz w:val="18"/>
      <w:szCs w:val="18"/>
    </w:rPr>
  </w:style>
  <w:style w:type="paragraph" w:styleId="CommentText">
    <w:name w:val="annotation text"/>
    <w:basedOn w:val="Normal"/>
    <w:link w:val="CommentTextChar"/>
    <w:uiPriority w:val="99"/>
    <w:unhideWhenUsed/>
    <w:rsid w:val="00DE4322"/>
  </w:style>
  <w:style w:type="character" w:customStyle="1" w:styleId="CommentTextChar">
    <w:name w:val="Comment Text Char"/>
    <w:basedOn w:val="DefaultParagraphFont"/>
    <w:link w:val="CommentText"/>
    <w:uiPriority w:val="99"/>
    <w:rsid w:val="00DE4322"/>
  </w:style>
  <w:style w:type="paragraph" w:styleId="CommentSubject">
    <w:name w:val="annotation subject"/>
    <w:basedOn w:val="CommentText"/>
    <w:next w:val="CommentText"/>
    <w:link w:val="CommentSubjectChar"/>
    <w:uiPriority w:val="99"/>
    <w:semiHidden/>
    <w:unhideWhenUsed/>
    <w:rsid w:val="00DE4322"/>
    <w:rPr>
      <w:b/>
      <w:bCs/>
      <w:sz w:val="20"/>
      <w:szCs w:val="20"/>
    </w:rPr>
  </w:style>
  <w:style w:type="character" w:customStyle="1" w:styleId="CommentSubjectChar">
    <w:name w:val="Comment Subject Char"/>
    <w:basedOn w:val="CommentTextChar"/>
    <w:link w:val="CommentSubject"/>
    <w:uiPriority w:val="99"/>
    <w:semiHidden/>
    <w:rsid w:val="00DE4322"/>
    <w:rPr>
      <w:b/>
      <w:bCs/>
      <w:sz w:val="20"/>
      <w:szCs w:val="20"/>
    </w:rPr>
  </w:style>
  <w:style w:type="paragraph" w:customStyle="1" w:styleId="p1">
    <w:name w:val="p1"/>
    <w:basedOn w:val="Normal"/>
    <w:rsid w:val="007358F3"/>
    <w:rPr>
      <w:rFonts w:ascii="Helvetica" w:hAnsi="Helvetica" w:cs="Times New Roman"/>
      <w:color w:val="FF2600"/>
      <w:sz w:val="18"/>
      <w:szCs w:val="18"/>
    </w:rPr>
  </w:style>
  <w:style w:type="paragraph" w:customStyle="1" w:styleId="p2">
    <w:name w:val="p2"/>
    <w:basedOn w:val="Normal"/>
    <w:rsid w:val="007358F3"/>
    <w:rPr>
      <w:rFonts w:ascii="Helvetica" w:hAnsi="Helvetica" w:cs="Times New Roman"/>
      <w:sz w:val="18"/>
      <w:szCs w:val="18"/>
    </w:rPr>
  </w:style>
  <w:style w:type="character" w:customStyle="1" w:styleId="s1">
    <w:name w:val="s1"/>
    <w:basedOn w:val="DefaultParagraphFont"/>
    <w:rsid w:val="007358F3"/>
    <w:rPr>
      <w:color w:val="FF2600"/>
    </w:rPr>
  </w:style>
  <w:style w:type="paragraph" w:styleId="Revision">
    <w:name w:val="Revision"/>
    <w:hidden/>
    <w:uiPriority w:val="99"/>
    <w:semiHidden/>
    <w:rsid w:val="00A17861"/>
  </w:style>
  <w:style w:type="paragraph" w:styleId="Header">
    <w:name w:val="header"/>
    <w:basedOn w:val="Normal"/>
    <w:link w:val="HeaderChar"/>
    <w:uiPriority w:val="99"/>
    <w:unhideWhenUsed/>
    <w:rsid w:val="0054135C"/>
    <w:pPr>
      <w:tabs>
        <w:tab w:val="center" w:pos="4680"/>
        <w:tab w:val="right" w:pos="9360"/>
      </w:tabs>
    </w:pPr>
  </w:style>
  <w:style w:type="character" w:customStyle="1" w:styleId="HeaderChar">
    <w:name w:val="Header Char"/>
    <w:basedOn w:val="DefaultParagraphFont"/>
    <w:link w:val="Header"/>
    <w:uiPriority w:val="99"/>
    <w:rsid w:val="0054135C"/>
  </w:style>
  <w:style w:type="paragraph" w:styleId="Footer">
    <w:name w:val="footer"/>
    <w:basedOn w:val="Normal"/>
    <w:link w:val="FooterChar"/>
    <w:uiPriority w:val="99"/>
    <w:unhideWhenUsed/>
    <w:rsid w:val="0054135C"/>
    <w:pPr>
      <w:tabs>
        <w:tab w:val="center" w:pos="4680"/>
        <w:tab w:val="right" w:pos="9360"/>
      </w:tabs>
    </w:pPr>
  </w:style>
  <w:style w:type="character" w:customStyle="1" w:styleId="FooterChar">
    <w:name w:val="Footer Char"/>
    <w:basedOn w:val="DefaultParagraphFont"/>
    <w:link w:val="Footer"/>
    <w:uiPriority w:val="99"/>
    <w:rsid w:val="0054135C"/>
  </w:style>
  <w:style w:type="paragraph" w:styleId="NormalWeb">
    <w:name w:val="Normal (Web)"/>
    <w:basedOn w:val="Normal"/>
    <w:uiPriority w:val="99"/>
    <w:unhideWhenUsed/>
    <w:rsid w:val="00145D1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23176">
      <w:bodyDiv w:val="1"/>
      <w:marLeft w:val="0"/>
      <w:marRight w:val="0"/>
      <w:marTop w:val="0"/>
      <w:marBottom w:val="0"/>
      <w:divBdr>
        <w:top w:val="none" w:sz="0" w:space="0" w:color="auto"/>
        <w:left w:val="none" w:sz="0" w:space="0" w:color="auto"/>
        <w:bottom w:val="none" w:sz="0" w:space="0" w:color="auto"/>
        <w:right w:val="none" w:sz="0" w:space="0" w:color="auto"/>
      </w:divBdr>
    </w:div>
    <w:div w:id="260988810">
      <w:bodyDiv w:val="1"/>
      <w:marLeft w:val="0"/>
      <w:marRight w:val="0"/>
      <w:marTop w:val="0"/>
      <w:marBottom w:val="0"/>
      <w:divBdr>
        <w:top w:val="none" w:sz="0" w:space="0" w:color="auto"/>
        <w:left w:val="none" w:sz="0" w:space="0" w:color="auto"/>
        <w:bottom w:val="none" w:sz="0" w:space="0" w:color="auto"/>
        <w:right w:val="none" w:sz="0" w:space="0" w:color="auto"/>
      </w:divBdr>
    </w:div>
    <w:div w:id="994534452">
      <w:bodyDiv w:val="1"/>
      <w:marLeft w:val="0"/>
      <w:marRight w:val="0"/>
      <w:marTop w:val="0"/>
      <w:marBottom w:val="0"/>
      <w:divBdr>
        <w:top w:val="none" w:sz="0" w:space="0" w:color="auto"/>
        <w:left w:val="none" w:sz="0" w:space="0" w:color="auto"/>
        <w:bottom w:val="none" w:sz="0" w:space="0" w:color="auto"/>
        <w:right w:val="none" w:sz="0" w:space="0" w:color="auto"/>
      </w:divBdr>
    </w:div>
    <w:div w:id="1252348899">
      <w:bodyDiv w:val="1"/>
      <w:marLeft w:val="0"/>
      <w:marRight w:val="0"/>
      <w:marTop w:val="0"/>
      <w:marBottom w:val="0"/>
      <w:divBdr>
        <w:top w:val="none" w:sz="0" w:space="0" w:color="auto"/>
        <w:left w:val="none" w:sz="0" w:space="0" w:color="auto"/>
        <w:bottom w:val="none" w:sz="0" w:space="0" w:color="auto"/>
        <w:right w:val="none" w:sz="0" w:space="0" w:color="auto"/>
      </w:divBdr>
    </w:div>
    <w:div w:id="1287008816">
      <w:bodyDiv w:val="1"/>
      <w:marLeft w:val="0"/>
      <w:marRight w:val="0"/>
      <w:marTop w:val="0"/>
      <w:marBottom w:val="0"/>
      <w:divBdr>
        <w:top w:val="none" w:sz="0" w:space="0" w:color="auto"/>
        <w:left w:val="none" w:sz="0" w:space="0" w:color="auto"/>
        <w:bottom w:val="none" w:sz="0" w:space="0" w:color="auto"/>
        <w:right w:val="none" w:sz="0" w:space="0" w:color="auto"/>
      </w:divBdr>
    </w:div>
    <w:div w:id="21035292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8697B38-BE73-4E45-AD1A-97173A63B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Actavis</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Nibouar</dc:creator>
  <cp:lastModifiedBy>Riegg, Isabella</cp:lastModifiedBy>
  <cp:revision>2</cp:revision>
  <dcterms:created xsi:type="dcterms:W3CDTF">2024-10-21T20:55:00Z</dcterms:created>
  <dcterms:modified xsi:type="dcterms:W3CDTF">2024-10-21T20:55:00Z</dcterms:modified>
</cp:coreProperties>
</file>