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Trust + Treatments Post: Social Media Content Caption, In-feed Static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Trust + Treatments Static Post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 bond that can never be broken: you + your provider 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We are proud to be a member of the Allē network of trusted providers, helping you make the most out of your treatment journey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#AlleDirectory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